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85" w:rsidRDefault="00D30185" w:rsidP="00D30185">
      <w:pPr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附件2</w:t>
      </w:r>
    </w:p>
    <w:p w:rsidR="00D30185" w:rsidRDefault="00D30185" w:rsidP="00D30185">
      <w:pPr>
        <w:jc w:val="center"/>
        <w:rPr>
          <w:rFonts w:ascii="黑体" w:eastAsia="黑体" w:hAnsi="黑体" w:hint="eastAsia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t>果蔬农药残留半定量快速检测产品评价方案</w:t>
      </w:r>
    </w:p>
    <w:p w:rsidR="00D30185" w:rsidRDefault="00D30185" w:rsidP="00D30185">
      <w:pPr>
        <w:pStyle w:val="a6"/>
        <w:tabs>
          <w:tab w:val="center" w:pos="426"/>
          <w:tab w:val="right" w:leader="dot" w:pos="9298"/>
        </w:tabs>
        <w:autoSpaceDE/>
        <w:autoSpaceDN/>
        <w:spacing w:line="360" w:lineRule="auto"/>
        <w:ind w:firstLineChars="0" w:firstLine="0"/>
        <w:rPr>
          <w:rFonts w:ascii="黑体" w:eastAsia="黑体" w:hAnsi="黑体"/>
          <w:sz w:val="24"/>
          <w:szCs w:val="22"/>
        </w:rPr>
      </w:pPr>
      <w:r>
        <w:rPr>
          <w:rFonts w:ascii="黑体" w:eastAsia="黑体" w:hAnsi="黑体" w:hint="eastAsia"/>
          <w:sz w:val="24"/>
          <w:szCs w:val="22"/>
        </w:rPr>
        <w:t>1.评价实验</w:t>
      </w:r>
    </w:p>
    <w:p w:rsidR="00D30185" w:rsidRDefault="00D30185" w:rsidP="00D30185">
      <w:pPr>
        <w:pStyle w:val="a6"/>
        <w:spacing w:line="360" w:lineRule="auto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1</w:t>
      </w:r>
      <w:r>
        <w:rPr>
          <w:rFonts w:ascii="黑体" w:eastAsia="黑体" w:hAnsi="黑体"/>
        </w:rPr>
        <w:t>.</w:t>
      </w:r>
      <w:r>
        <w:rPr>
          <w:rFonts w:ascii="黑体" w:eastAsia="黑体" w:hAnsi="黑体" w:hint="eastAsia"/>
        </w:rPr>
        <w:t>1</w:t>
      </w:r>
      <w:r>
        <w:rPr>
          <w:rFonts w:ascii="黑体" w:eastAsia="黑体" w:hAnsi="黑体"/>
        </w:rPr>
        <w:t xml:space="preserve"> 标准溶液的配制</w:t>
      </w:r>
    </w:p>
    <w:p w:rsidR="00D30185" w:rsidRDefault="00D30185" w:rsidP="00D30185">
      <w:pPr>
        <w:pStyle w:val="a6"/>
        <w:spacing w:line="360" w:lineRule="auto"/>
        <w:ind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采用国家有证标准物质配制标准储备溶液，标准储备溶液储藏条件及有效期按照GB/T 27404的规定执行，标准工作溶液应现用现配。</w:t>
      </w:r>
      <w:r>
        <w:rPr>
          <w:rFonts w:hAnsi="宋体" w:cs="宋体" w:hint="eastAsia"/>
        </w:rPr>
        <w:t>也可采用等同溯源的参考物质。</w:t>
      </w:r>
    </w:p>
    <w:p w:rsidR="00D30185" w:rsidRDefault="00D30185" w:rsidP="00D30185">
      <w:pPr>
        <w:pStyle w:val="a6"/>
        <w:spacing w:line="360" w:lineRule="auto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1</w:t>
      </w:r>
      <w:r>
        <w:rPr>
          <w:rFonts w:ascii="黑体" w:eastAsia="黑体" w:hAnsi="黑体"/>
        </w:rPr>
        <w:t>.</w:t>
      </w:r>
      <w:r>
        <w:rPr>
          <w:rFonts w:ascii="黑体" w:eastAsia="黑体" w:hAnsi="黑体" w:hint="eastAsia"/>
        </w:rPr>
        <w:t>2</w:t>
      </w:r>
      <w:r>
        <w:rPr>
          <w:rFonts w:ascii="黑体" w:eastAsia="黑体" w:hAnsi="黑体"/>
        </w:rPr>
        <w:t xml:space="preserve"> 样品制备</w:t>
      </w:r>
    </w:p>
    <w:p w:rsidR="00D30185" w:rsidRDefault="00D30185" w:rsidP="00D30185">
      <w:pPr>
        <w:pStyle w:val="a6"/>
        <w:spacing w:line="360" w:lineRule="auto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1</w:t>
      </w:r>
      <w:r>
        <w:rPr>
          <w:rFonts w:ascii="黑体" w:eastAsia="黑体" w:hAnsi="黑体"/>
        </w:rPr>
        <w:t>.</w:t>
      </w:r>
      <w:r>
        <w:rPr>
          <w:rFonts w:ascii="黑体" w:eastAsia="黑体" w:hAnsi="黑体" w:hint="eastAsia"/>
        </w:rPr>
        <w:t>2</w:t>
      </w:r>
      <w:r>
        <w:rPr>
          <w:rFonts w:ascii="黑体" w:eastAsia="黑体" w:hAnsi="黑体"/>
        </w:rPr>
        <w:t>.1 空白样品</w:t>
      </w:r>
      <w:r>
        <w:rPr>
          <w:rFonts w:ascii="黑体" w:eastAsia="黑体" w:hAnsi="黑体" w:hint="eastAsia"/>
        </w:rPr>
        <w:t>制备</w:t>
      </w:r>
    </w:p>
    <w:p w:rsidR="00D30185" w:rsidRDefault="00D30185" w:rsidP="00D30185">
      <w:pPr>
        <w:pStyle w:val="a6"/>
        <w:spacing w:line="360" w:lineRule="auto"/>
        <w:ind w:firstLineChars="0" w:firstLine="420"/>
      </w:pPr>
      <w:r>
        <w:rPr>
          <w:rFonts w:hAnsi="宋体" w:cs="宋体" w:hint="eastAsia"/>
          <w:color w:val="000000"/>
          <w:szCs w:val="22"/>
        </w:rPr>
        <w:t>空白样品应采用参比方法进行确认，</w:t>
      </w:r>
      <w:r>
        <w:rPr>
          <w:rFonts w:ascii="Times New Roman" w:hint="eastAsia"/>
          <w:color w:val="000000"/>
          <w:szCs w:val="22"/>
        </w:rPr>
        <w:t>以证明空白样品中无目标</w:t>
      </w:r>
      <w:r>
        <w:rPr>
          <w:rFonts w:ascii="Times New Roman"/>
          <w:color w:val="000000"/>
          <w:szCs w:val="22"/>
        </w:rPr>
        <w:t>农药</w:t>
      </w:r>
      <w:r>
        <w:rPr>
          <w:rFonts w:ascii="Times New Roman" w:hint="eastAsia"/>
          <w:color w:val="000000"/>
          <w:szCs w:val="22"/>
        </w:rPr>
        <w:t>残留</w:t>
      </w:r>
      <w:r>
        <w:rPr>
          <w:rFonts w:ascii="Times New Roman"/>
          <w:color w:val="000000"/>
          <w:szCs w:val="22"/>
        </w:rPr>
        <w:t>。</w:t>
      </w:r>
      <w:r>
        <w:rPr>
          <w:rFonts w:hAnsi="宋体" w:cs="宋体" w:hint="eastAsia"/>
        </w:rPr>
        <w:t>参比方法应优先选择食品安全国家标准或GB 2763附录中推荐的检测方法，对于GB 2763没有规定检测方法的目标农药，可以选择</w:t>
      </w:r>
      <w:r>
        <w:rPr>
          <w:rFonts w:hint="eastAsia"/>
        </w:rPr>
        <w:t>相应行业标准作为参比方法。</w:t>
      </w:r>
    </w:p>
    <w:p w:rsidR="00D30185" w:rsidRDefault="00D30185" w:rsidP="00D30185">
      <w:pPr>
        <w:pStyle w:val="a6"/>
        <w:spacing w:line="360" w:lineRule="auto"/>
        <w:ind w:firstLine="420"/>
        <w:rPr>
          <w:rFonts w:hAnsi="宋体" w:cs="宋体"/>
        </w:rPr>
      </w:pPr>
      <w:r>
        <w:rPr>
          <w:rFonts w:hAnsi="宋体" w:cs="宋体" w:hint="eastAsia"/>
          <w:color w:val="000000"/>
        </w:rPr>
        <w:t>按照产品说明书的操作要求制备空白样品，将空白样品等量分装105份</w:t>
      </w:r>
      <w:r>
        <w:rPr>
          <w:rFonts w:hAnsi="宋体" w:cs="宋体" w:hint="eastAsia"/>
        </w:rPr>
        <w:t>，</w:t>
      </w:r>
      <w:r>
        <w:rPr>
          <w:rFonts w:hAnsi="宋体" w:cs="宋体" w:hint="eastAsia"/>
          <w:color w:val="000000"/>
          <w:szCs w:val="22"/>
        </w:rPr>
        <w:t>其中21份设定为空白样品，</w:t>
      </w:r>
      <w:r>
        <w:rPr>
          <w:rFonts w:hAnsi="宋体" w:cs="宋体" w:hint="eastAsia"/>
        </w:rPr>
        <w:t>其余用于制备加标样品。</w:t>
      </w:r>
    </w:p>
    <w:p w:rsidR="00D30185" w:rsidRDefault="00D30185" w:rsidP="00D30185">
      <w:pPr>
        <w:pStyle w:val="a6"/>
        <w:spacing w:line="360" w:lineRule="auto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1.2.2 加标样品制备</w:t>
      </w:r>
    </w:p>
    <w:p w:rsidR="00D30185" w:rsidRDefault="00D30185" w:rsidP="00D30185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szCs w:val="22"/>
        </w:rPr>
      </w:pPr>
      <w:r>
        <w:rPr>
          <w:rFonts w:ascii="宋体" w:hAnsi="宋体" w:cs="宋体" w:hint="eastAsia"/>
          <w:szCs w:val="22"/>
        </w:rPr>
        <w:t>用1.2.1得到的空白样品，制备4组不同浓度水平的加标样品，每组21份。其中1组样品按照GB 2763标准规定的1倍MRL水平进行加标，用于临界值考查实验；另3组样品分别按照GB 2763标准规定的0.25倍MRL、1倍MRL和1.5倍MRL水平进行加标，</w:t>
      </w:r>
      <w:r>
        <w:rPr>
          <w:rFonts w:ascii="宋体" w:hAnsi="宋体" w:cs="宋体" w:hint="eastAsia"/>
          <w:bCs/>
        </w:rPr>
        <w:t>用于梯度MRL考查实验</w:t>
      </w:r>
      <w:r>
        <w:rPr>
          <w:rFonts w:ascii="宋体" w:hAnsi="宋体" w:cs="宋体" w:hint="eastAsia"/>
          <w:szCs w:val="22"/>
        </w:rPr>
        <w:t>。</w:t>
      </w:r>
    </w:p>
    <w:p w:rsidR="00D30185" w:rsidRDefault="00D30185" w:rsidP="00D30185">
      <w:pPr>
        <w:widowControl/>
        <w:spacing w:line="360" w:lineRule="auto"/>
        <w:jc w:val="left"/>
        <w:rPr>
          <w:rFonts w:ascii="宋体" w:hAnsi="宋体" w:cs="宋体"/>
        </w:rPr>
      </w:pPr>
      <w:r>
        <w:rPr>
          <w:rFonts w:ascii="黑体" w:eastAsia="黑体" w:hAnsi="黑体" w:cs="黑体" w:hint="eastAsia"/>
          <w:szCs w:val="22"/>
        </w:rPr>
        <w:t>1.3 样品编码</w:t>
      </w:r>
    </w:p>
    <w:p w:rsidR="00D30185" w:rsidRDefault="00D30185" w:rsidP="00D30185">
      <w:pPr>
        <w:spacing w:line="360" w:lineRule="auto"/>
        <w:ind w:firstLineChars="200" w:firstLine="420"/>
        <w:rPr>
          <w:rFonts w:ascii="宋体" w:hAnsi="宋体" w:cs="宋体"/>
          <w:szCs w:val="22"/>
        </w:rPr>
      </w:pPr>
      <w:r>
        <w:rPr>
          <w:rFonts w:ascii="宋体" w:hAnsi="宋体" w:cs="宋体" w:hint="eastAsia"/>
        </w:rPr>
        <w:t>遵循“随机生成”的原则，将1组空白样品（1.2.1）和4组加标样品（1.2.2）作为评价样品进行编码。评价样品分组和编码见表</w:t>
      </w:r>
      <w:r>
        <w:rPr>
          <w:rFonts w:ascii="宋体" w:hAnsi="宋体" w:cs="宋体" w:hint="eastAsia"/>
          <w:szCs w:val="22"/>
        </w:rPr>
        <w:t>1。</w:t>
      </w:r>
    </w:p>
    <w:p w:rsidR="00D30185" w:rsidRDefault="00D30185" w:rsidP="00D30185">
      <w:pPr>
        <w:pStyle w:val="a6"/>
        <w:spacing w:beforeLines="50" w:afterLines="50" w:line="360" w:lineRule="auto"/>
        <w:ind w:firstLine="420"/>
        <w:jc w:val="center"/>
        <w:rPr>
          <w:rFonts w:ascii="黑体" w:eastAsia="黑体" w:hAnsi="黑体"/>
          <w:szCs w:val="22"/>
        </w:rPr>
      </w:pPr>
      <w:r>
        <w:rPr>
          <w:rFonts w:ascii="黑体" w:eastAsia="黑体" w:hAnsi="黑体" w:hint="eastAsia"/>
          <w:szCs w:val="22"/>
        </w:rPr>
        <w:t>表1</w:t>
      </w:r>
      <w:r>
        <w:rPr>
          <w:rFonts w:ascii="黑体" w:eastAsia="黑体" w:hAnsi="黑体"/>
          <w:szCs w:val="22"/>
        </w:rPr>
        <w:t xml:space="preserve"> </w:t>
      </w:r>
      <w:r>
        <w:rPr>
          <w:rFonts w:ascii="黑体" w:eastAsia="黑体" w:hAnsi="黑体" w:hint="eastAsia"/>
          <w:szCs w:val="22"/>
        </w:rPr>
        <w:t>评价样品分组和编码</w:t>
      </w: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8"/>
        <w:gridCol w:w="1935"/>
        <w:gridCol w:w="2013"/>
        <w:gridCol w:w="1915"/>
        <w:gridCol w:w="1886"/>
      </w:tblGrid>
      <w:tr w:rsidR="00D30185" w:rsidTr="001541B5">
        <w:trPr>
          <w:trHeight w:val="402"/>
          <w:jc w:val="center"/>
        </w:trPr>
        <w:tc>
          <w:tcPr>
            <w:tcW w:w="3773" w:type="dxa"/>
            <w:gridSpan w:val="2"/>
            <w:vAlign w:val="center"/>
          </w:tcPr>
          <w:p w:rsidR="00D30185" w:rsidRDefault="00D30185" w:rsidP="001541B5">
            <w:pPr>
              <w:pStyle w:val="a5"/>
              <w:adjustRightInd w:val="0"/>
              <w:snapToGrid w:val="0"/>
              <w:spacing w:before="232" w:line="360" w:lineRule="auto"/>
              <w:ind w:leftChars="-9" w:left="-19" w:rightChars="47" w:right="99" w:firstLineChars="5" w:firstLine="10"/>
              <w:jc w:val="center"/>
              <w:rPr>
                <w:rFonts w:ascii="宋体" w:eastAsia="宋体" w:hAnsi="宋体" w:cs="Times New Roman"/>
                <w:color w:val="000000"/>
                <w:spacing w:val="15"/>
                <w:sz w:val="18"/>
                <w:szCs w:val="18"/>
                <w:lang w:val="en-US"/>
              </w:rPr>
            </w:pPr>
            <w:r>
              <w:rPr>
                <w:rFonts w:ascii="宋体" w:eastAsia="宋体" w:hAnsi="宋体" w:cs="Times New Roman" w:hint="eastAsia"/>
                <w:color w:val="000000"/>
                <w:spacing w:val="15"/>
                <w:sz w:val="18"/>
                <w:szCs w:val="18"/>
                <w:lang w:val="en-US"/>
              </w:rPr>
              <w:t>临界值考查实验</w:t>
            </w:r>
          </w:p>
        </w:tc>
        <w:tc>
          <w:tcPr>
            <w:tcW w:w="5814" w:type="dxa"/>
            <w:gridSpan w:val="3"/>
            <w:vAlign w:val="center"/>
          </w:tcPr>
          <w:p w:rsidR="00D30185" w:rsidRDefault="00D30185" w:rsidP="001541B5">
            <w:pPr>
              <w:pStyle w:val="a5"/>
              <w:adjustRightInd w:val="0"/>
              <w:snapToGrid w:val="0"/>
              <w:spacing w:before="232" w:line="360" w:lineRule="auto"/>
              <w:ind w:leftChars="-9" w:left="-19" w:rightChars="47" w:right="99" w:firstLineChars="5" w:firstLine="10"/>
              <w:jc w:val="center"/>
              <w:rPr>
                <w:rFonts w:ascii="宋体" w:eastAsia="宋体" w:hAnsi="宋体" w:cs="Times New Roman"/>
                <w:color w:val="000000"/>
                <w:spacing w:val="15"/>
                <w:sz w:val="18"/>
                <w:szCs w:val="18"/>
                <w:lang w:val="en-US"/>
              </w:rPr>
            </w:pPr>
            <w:r>
              <w:rPr>
                <w:rFonts w:ascii="宋体" w:eastAsia="宋体" w:hAnsi="宋体" w:cs="Times New Roman" w:hint="eastAsia"/>
                <w:color w:val="000000"/>
                <w:spacing w:val="15"/>
                <w:sz w:val="18"/>
                <w:szCs w:val="18"/>
                <w:lang w:val="en-US"/>
              </w:rPr>
              <w:t>梯度MRL考查实验</w:t>
            </w:r>
          </w:p>
        </w:tc>
      </w:tr>
      <w:tr w:rsidR="00D30185" w:rsidTr="001541B5">
        <w:trPr>
          <w:trHeight w:val="842"/>
          <w:jc w:val="center"/>
        </w:trPr>
        <w:tc>
          <w:tcPr>
            <w:tcW w:w="1838" w:type="dxa"/>
            <w:vAlign w:val="center"/>
          </w:tcPr>
          <w:p w:rsidR="00D30185" w:rsidRDefault="00D30185" w:rsidP="001541B5">
            <w:pPr>
              <w:pStyle w:val="a5"/>
              <w:adjustRightInd w:val="0"/>
              <w:snapToGrid w:val="0"/>
              <w:spacing w:before="232" w:line="360" w:lineRule="auto"/>
              <w:ind w:leftChars="-9" w:left="-19" w:rightChars="-10" w:right="-21" w:firstLineChars="5" w:firstLine="10"/>
              <w:jc w:val="center"/>
              <w:rPr>
                <w:rFonts w:ascii="宋体" w:eastAsia="宋体" w:hAnsi="宋体" w:cs="Times New Roman"/>
                <w:spacing w:val="-8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color w:val="000000"/>
                <w:spacing w:val="15"/>
                <w:sz w:val="18"/>
                <w:szCs w:val="18"/>
              </w:rPr>
              <w:t>I（空白）</w:t>
            </w:r>
          </w:p>
        </w:tc>
        <w:tc>
          <w:tcPr>
            <w:tcW w:w="1935" w:type="dxa"/>
            <w:vAlign w:val="center"/>
          </w:tcPr>
          <w:p w:rsidR="00D30185" w:rsidRDefault="00D30185" w:rsidP="001541B5">
            <w:pPr>
              <w:pStyle w:val="a5"/>
              <w:adjustRightInd w:val="0"/>
              <w:snapToGrid w:val="0"/>
              <w:spacing w:before="232" w:line="360" w:lineRule="auto"/>
              <w:ind w:leftChars="-9" w:left="-19" w:rightChars="47" w:right="99" w:firstLineChars="5" w:firstLine="10"/>
              <w:jc w:val="center"/>
              <w:rPr>
                <w:rFonts w:ascii="宋体" w:eastAsia="宋体" w:hAnsi="宋体" w:cs="Times New Roman"/>
                <w:spacing w:val="-8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color w:val="000000"/>
                <w:spacing w:val="15"/>
                <w:sz w:val="18"/>
                <w:szCs w:val="18"/>
              </w:rPr>
              <w:t>II（添加</w:t>
            </w:r>
            <w:r>
              <w:rPr>
                <w:rFonts w:ascii="宋体" w:eastAsia="宋体" w:hAnsi="宋体" w:cs="Times New Roman" w:hint="eastAsia"/>
                <w:color w:val="000000"/>
                <w:spacing w:val="15"/>
                <w:sz w:val="18"/>
                <w:szCs w:val="18"/>
                <w:lang w:val="en-US"/>
              </w:rPr>
              <w:t>1倍</w:t>
            </w:r>
            <w:r>
              <w:rPr>
                <w:rFonts w:ascii="宋体" w:eastAsia="宋体" w:hAnsi="宋体" w:cs="Times New Roman"/>
                <w:color w:val="000000"/>
                <w:spacing w:val="15"/>
                <w:sz w:val="18"/>
                <w:szCs w:val="18"/>
              </w:rPr>
              <w:t>MRL值</w:t>
            </w:r>
            <w:r>
              <w:rPr>
                <w:rFonts w:ascii="宋体" w:eastAsia="宋体" w:hAnsi="宋体" w:cs="Times New Roman" w:hint="eastAsia"/>
                <w:color w:val="000000"/>
                <w:spacing w:val="15"/>
                <w:sz w:val="18"/>
                <w:szCs w:val="18"/>
                <w:lang w:val="en-US"/>
              </w:rPr>
              <w:t>含量</w:t>
            </w:r>
            <w:r>
              <w:rPr>
                <w:rFonts w:ascii="宋体" w:eastAsia="宋体" w:hAnsi="宋体" w:cs="Times New Roman"/>
                <w:color w:val="000000"/>
                <w:spacing w:val="15"/>
                <w:sz w:val="18"/>
                <w:szCs w:val="18"/>
              </w:rPr>
              <w:t>）</w:t>
            </w:r>
          </w:p>
        </w:tc>
        <w:tc>
          <w:tcPr>
            <w:tcW w:w="2013" w:type="dxa"/>
            <w:vAlign w:val="center"/>
          </w:tcPr>
          <w:p w:rsidR="00D30185" w:rsidRDefault="00D30185" w:rsidP="001541B5">
            <w:pPr>
              <w:pStyle w:val="a5"/>
              <w:adjustRightInd w:val="0"/>
              <w:snapToGrid w:val="0"/>
              <w:spacing w:before="232" w:line="360" w:lineRule="auto"/>
              <w:ind w:leftChars="-9" w:left="-19" w:rightChars="91" w:right="191" w:firstLineChars="5" w:firstLine="10"/>
              <w:jc w:val="center"/>
              <w:rPr>
                <w:rFonts w:ascii="宋体" w:eastAsia="宋体" w:hAnsi="宋体" w:cs="Times New Roman"/>
                <w:spacing w:val="-8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color w:val="000000"/>
                <w:spacing w:val="15"/>
                <w:sz w:val="18"/>
                <w:szCs w:val="18"/>
              </w:rPr>
              <w:t>III</w:t>
            </w:r>
            <w:r>
              <w:rPr>
                <w:rFonts w:ascii="宋体" w:eastAsia="宋体" w:hAnsi="宋体" w:cs="Times New Roman" w:hint="eastAsia"/>
                <w:color w:val="000000"/>
                <w:spacing w:val="15"/>
                <w:sz w:val="18"/>
                <w:szCs w:val="18"/>
              </w:rPr>
              <w:t>（添加</w:t>
            </w:r>
            <w:r>
              <w:rPr>
                <w:rFonts w:ascii="宋体" w:eastAsia="宋体" w:hAnsi="宋体" w:cs="Times New Roman" w:hint="eastAsia"/>
                <w:color w:val="000000"/>
                <w:spacing w:val="15"/>
                <w:sz w:val="18"/>
                <w:szCs w:val="18"/>
                <w:lang w:val="en-US"/>
              </w:rPr>
              <w:t>0.25倍</w:t>
            </w:r>
            <w:r>
              <w:rPr>
                <w:rFonts w:ascii="宋体" w:eastAsia="宋体" w:hAnsi="宋体" w:cs="Times New Roman"/>
                <w:color w:val="000000"/>
                <w:spacing w:val="15"/>
                <w:sz w:val="18"/>
                <w:szCs w:val="18"/>
              </w:rPr>
              <w:t>MRL</w:t>
            </w:r>
            <w:r>
              <w:rPr>
                <w:rFonts w:ascii="宋体" w:eastAsia="宋体" w:hAnsi="宋体" w:cs="Times New Roman" w:hint="eastAsia"/>
                <w:color w:val="000000"/>
                <w:spacing w:val="15"/>
                <w:sz w:val="18"/>
                <w:szCs w:val="18"/>
              </w:rPr>
              <w:t>值</w:t>
            </w:r>
            <w:r>
              <w:rPr>
                <w:rFonts w:ascii="宋体" w:eastAsia="宋体" w:hAnsi="宋体" w:cs="Times New Roman" w:hint="eastAsia"/>
                <w:color w:val="000000"/>
                <w:spacing w:val="15"/>
                <w:sz w:val="18"/>
                <w:szCs w:val="18"/>
                <w:lang w:val="en-US"/>
              </w:rPr>
              <w:t>含量</w:t>
            </w:r>
            <w:r>
              <w:rPr>
                <w:rFonts w:ascii="宋体" w:eastAsia="宋体" w:hAnsi="宋体" w:cs="Times New Roman" w:hint="eastAsia"/>
                <w:color w:val="000000"/>
                <w:spacing w:val="15"/>
                <w:sz w:val="18"/>
                <w:szCs w:val="18"/>
              </w:rPr>
              <w:t>）</w:t>
            </w:r>
          </w:p>
        </w:tc>
        <w:tc>
          <w:tcPr>
            <w:tcW w:w="1915" w:type="dxa"/>
            <w:vAlign w:val="center"/>
          </w:tcPr>
          <w:p w:rsidR="00D30185" w:rsidRDefault="00D30185" w:rsidP="001541B5">
            <w:pPr>
              <w:pStyle w:val="a5"/>
              <w:adjustRightInd w:val="0"/>
              <w:snapToGrid w:val="0"/>
              <w:spacing w:before="232" w:line="360" w:lineRule="auto"/>
              <w:ind w:leftChars="-9" w:left="-19" w:rightChars="91" w:right="191" w:firstLineChars="5" w:firstLine="10"/>
              <w:jc w:val="center"/>
              <w:rPr>
                <w:rFonts w:ascii="宋体" w:eastAsia="宋体" w:hAnsi="宋体" w:cs="Times New Roman"/>
                <w:color w:val="000000"/>
                <w:spacing w:val="15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color w:val="000000"/>
                <w:spacing w:val="15"/>
                <w:sz w:val="18"/>
                <w:szCs w:val="18"/>
              </w:rPr>
              <w:t>I</w:t>
            </w:r>
            <w:r>
              <w:rPr>
                <w:rFonts w:ascii="宋体" w:eastAsia="宋体" w:hAnsi="宋体" w:cs="Times New Roman" w:hint="eastAsia"/>
                <w:color w:val="000000"/>
                <w:spacing w:val="15"/>
                <w:sz w:val="18"/>
                <w:szCs w:val="18"/>
                <w:lang w:val="en-US"/>
              </w:rPr>
              <w:t>V</w:t>
            </w:r>
            <w:r>
              <w:rPr>
                <w:rFonts w:ascii="宋体" w:eastAsia="宋体" w:hAnsi="宋体" w:cs="Times New Roman" w:hint="eastAsia"/>
                <w:color w:val="000000"/>
                <w:spacing w:val="15"/>
                <w:sz w:val="18"/>
                <w:szCs w:val="18"/>
              </w:rPr>
              <w:t>（</w:t>
            </w:r>
            <w:r>
              <w:rPr>
                <w:rFonts w:ascii="宋体" w:eastAsia="宋体" w:hAnsi="宋体" w:cs="Times New Roman"/>
                <w:color w:val="000000"/>
                <w:spacing w:val="15"/>
                <w:sz w:val="18"/>
                <w:szCs w:val="18"/>
              </w:rPr>
              <w:t>添加</w:t>
            </w:r>
            <w:r>
              <w:rPr>
                <w:rFonts w:ascii="宋体" w:eastAsia="宋体" w:hAnsi="宋体" w:cs="Times New Roman" w:hint="eastAsia"/>
                <w:color w:val="000000"/>
                <w:spacing w:val="15"/>
                <w:sz w:val="18"/>
                <w:szCs w:val="18"/>
                <w:lang w:val="en-US"/>
              </w:rPr>
              <w:t>1倍</w:t>
            </w:r>
            <w:r>
              <w:rPr>
                <w:rFonts w:ascii="宋体" w:eastAsia="宋体" w:hAnsi="宋体" w:cs="Times New Roman"/>
                <w:color w:val="000000"/>
                <w:spacing w:val="15"/>
                <w:sz w:val="18"/>
                <w:szCs w:val="18"/>
              </w:rPr>
              <w:t>MRL值</w:t>
            </w:r>
            <w:r>
              <w:rPr>
                <w:rFonts w:ascii="宋体" w:eastAsia="宋体" w:hAnsi="宋体" w:cs="Times New Roman" w:hint="eastAsia"/>
                <w:color w:val="000000"/>
                <w:spacing w:val="15"/>
                <w:sz w:val="18"/>
                <w:szCs w:val="18"/>
                <w:lang w:val="en-US"/>
              </w:rPr>
              <w:t>含量</w:t>
            </w:r>
            <w:r>
              <w:rPr>
                <w:rFonts w:ascii="宋体" w:eastAsia="宋体" w:hAnsi="宋体" w:cs="Times New Roman"/>
                <w:color w:val="000000"/>
                <w:spacing w:val="15"/>
                <w:sz w:val="18"/>
                <w:szCs w:val="18"/>
              </w:rPr>
              <w:t>）</w:t>
            </w:r>
          </w:p>
        </w:tc>
        <w:tc>
          <w:tcPr>
            <w:tcW w:w="1886" w:type="dxa"/>
            <w:vAlign w:val="center"/>
          </w:tcPr>
          <w:p w:rsidR="00D30185" w:rsidRDefault="00D30185" w:rsidP="001541B5">
            <w:pPr>
              <w:pStyle w:val="a5"/>
              <w:adjustRightInd w:val="0"/>
              <w:snapToGrid w:val="0"/>
              <w:spacing w:before="232" w:line="360" w:lineRule="auto"/>
              <w:ind w:leftChars="-9" w:left="-19" w:rightChars="91" w:right="191" w:firstLineChars="5" w:firstLine="10"/>
              <w:jc w:val="center"/>
              <w:rPr>
                <w:rFonts w:ascii="宋体" w:eastAsia="宋体" w:hAnsi="宋体" w:cs="Times New Roman"/>
                <w:color w:val="000000"/>
                <w:spacing w:val="15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color w:val="000000"/>
                <w:spacing w:val="15"/>
                <w:sz w:val="18"/>
                <w:szCs w:val="18"/>
                <w:lang w:val="en-US"/>
              </w:rPr>
              <w:t>V</w:t>
            </w:r>
            <w:r>
              <w:rPr>
                <w:rFonts w:ascii="宋体" w:eastAsia="宋体" w:hAnsi="宋体" w:cs="Times New Roman" w:hint="eastAsia"/>
                <w:color w:val="000000"/>
                <w:spacing w:val="15"/>
                <w:sz w:val="18"/>
                <w:szCs w:val="18"/>
              </w:rPr>
              <w:t>（</w:t>
            </w:r>
            <w:r>
              <w:rPr>
                <w:rFonts w:ascii="宋体" w:eastAsia="宋体" w:hAnsi="宋体" w:cs="Times New Roman"/>
                <w:color w:val="000000"/>
                <w:spacing w:val="15"/>
                <w:sz w:val="18"/>
                <w:szCs w:val="18"/>
              </w:rPr>
              <w:t>添加</w:t>
            </w:r>
            <w:r>
              <w:rPr>
                <w:rFonts w:ascii="宋体" w:eastAsia="宋体" w:hAnsi="宋体" w:cs="Times New Roman" w:hint="eastAsia"/>
                <w:color w:val="000000"/>
                <w:spacing w:val="15"/>
                <w:sz w:val="18"/>
                <w:szCs w:val="18"/>
                <w:lang w:val="en-US"/>
              </w:rPr>
              <w:t>1.5</w:t>
            </w:r>
            <w:r>
              <w:rPr>
                <w:rFonts w:ascii="宋体" w:eastAsia="宋体" w:hAnsi="宋体" w:cs="Times New Roman"/>
                <w:color w:val="000000"/>
                <w:spacing w:val="15"/>
                <w:sz w:val="18"/>
                <w:szCs w:val="18"/>
              </w:rPr>
              <w:t>倍MRL值</w:t>
            </w:r>
            <w:r>
              <w:rPr>
                <w:rFonts w:ascii="宋体" w:eastAsia="宋体" w:hAnsi="宋体" w:cs="Times New Roman" w:hint="eastAsia"/>
                <w:color w:val="000000"/>
                <w:spacing w:val="15"/>
                <w:sz w:val="18"/>
                <w:szCs w:val="18"/>
                <w:lang w:val="en-US"/>
              </w:rPr>
              <w:t>含量</w:t>
            </w:r>
            <w:r>
              <w:rPr>
                <w:rFonts w:ascii="宋体" w:eastAsia="宋体" w:hAnsi="宋体" w:cs="Times New Roman"/>
                <w:color w:val="000000"/>
                <w:spacing w:val="15"/>
                <w:sz w:val="18"/>
                <w:szCs w:val="18"/>
              </w:rPr>
              <w:t>）</w:t>
            </w:r>
          </w:p>
        </w:tc>
      </w:tr>
      <w:tr w:rsidR="00D30185" w:rsidTr="001541B5">
        <w:trPr>
          <w:trHeight w:val="1205"/>
          <w:jc w:val="center"/>
        </w:trPr>
        <w:tc>
          <w:tcPr>
            <w:tcW w:w="1838" w:type="dxa"/>
          </w:tcPr>
          <w:p w:rsidR="00D30185" w:rsidRDefault="00D30185" w:rsidP="001541B5">
            <w:pPr>
              <w:adjustRightInd w:val="0"/>
              <w:snapToGrid w:val="0"/>
              <w:spacing w:before="232" w:line="360" w:lineRule="auto"/>
              <w:ind w:leftChars="-9" w:left="-19" w:rightChars="61" w:right="128" w:firstLineChars="9" w:firstLine="15"/>
              <w:jc w:val="left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ascii="宋体" w:hAnsi="宋体" w:hint="eastAsia"/>
                <w:spacing w:val="-8"/>
                <w:sz w:val="18"/>
                <w:szCs w:val="18"/>
              </w:rPr>
              <w:t>从</w:t>
            </w:r>
            <w:r>
              <w:rPr>
                <w:rFonts w:ascii="宋体" w:hAnsi="宋体"/>
                <w:spacing w:val="-8"/>
                <w:sz w:val="18"/>
                <w:szCs w:val="18"/>
              </w:rPr>
              <w:t>1-</w:t>
            </w:r>
            <w:r>
              <w:rPr>
                <w:rFonts w:ascii="宋体" w:hAnsi="宋体" w:hint="eastAsia"/>
                <w:spacing w:val="-8"/>
                <w:sz w:val="18"/>
                <w:szCs w:val="18"/>
              </w:rPr>
              <w:t>42</w:t>
            </w:r>
            <w:r>
              <w:rPr>
                <w:rFonts w:ascii="宋体" w:hAnsi="宋体"/>
                <w:spacing w:val="-8"/>
                <w:sz w:val="18"/>
                <w:szCs w:val="18"/>
              </w:rPr>
              <w:t>中随机生成21个编号，进行赋码</w:t>
            </w:r>
          </w:p>
        </w:tc>
        <w:tc>
          <w:tcPr>
            <w:tcW w:w="1935" w:type="dxa"/>
          </w:tcPr>
          <w:p w:rsidR="00D30185" w:rsidRDefault="00D30185" w:rsidP="001541B5">
            <w:pPr>
              <w:adjustRightInd w:val="0"/>
              <w:snapToGrid w:val="0"/>
              <w:spacing w:before="232" w:line="360" w:lineRule="auto"/>
              <w:ind w:leftChars="-9" w:left="-19" w:rightChars="61" w:right="128" w:firstLineChars="9" w:firstLine="15"/>
              <w:jc w:val="left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ascii="宋体" w:hAnsi="宋体"/>
                <w:spacing w:val="-8"/>
                <w:sz w:val="18"/>
                <w:szCs w:val="18"/>
              </w:rPr>
              <w:t xml:space="preserve">从 1-42 中 </w:t>
            </w:r>
            <w:r>
              <w:rPr>
                <w:rFonts w:ascii="宋体" w:hAnsi="宋体" w:hint="eastAsia"/>
                <w:spacing w:val="-8"/>
                <w:sz w:val="18"/>
                <w:szCs w:val="18"/>
              </w:rPr>
              <w:t>除</w:t>
            </w:r>
            <w:r>
              <w:rPr>
                <w:rFonts w:ascii="宋体" w:hAnsi="宋体"/>
                <w:spacing w:val="-8"/>
                <w:sz w:val="18"/>
                <w:szCs w:val="18"/>
              </w:rPr>
              <w:t>I 组</w:t>
            </w:r>
            <w:r>
              <w:rPr>
                <w:rFonts w:ascii="宋体" w:hAnsi="宋体" w:hint="eastAsia"/>
                <w:spacing w:val="-8"/>
                <w:sz w:val="18"/>
                <w:szCs w:val="18"/>
              </w:rPr>
              <w:t>以外</w:t>
            </w:r>
            <w:r>
              <w:rPr>
                <w:rFonts w:ascii="宋体" w:hAnsi="宋体"/>
                <w:spacing w:val="-8"/>
                <w:sz w:val="18"/>
                <w:szCs w:val="18"/>
              </w:rPr>
              <w:t>的编号中生成21个编号</w:t>
            </w:r>
            <w:r>
              <w:rPr>
                <w:rFonts w:ascii="宋体" w:hAnsi="宋体" w:hint="eastAsia"/>
                <w:spacing w:val="-8"/>
                <w:sz w:val="18"/>
                <w:szCs w:val="18"/>
              </w:rPr>
              <w:t>，</w:t>
            </w:r>
            <w:r>
              <w:rPr>
                <w:rFonts w:ascii="宋体" w:hAnsi="宋体"/>
                <w:spacing w:val="-8"/>
                <w:sz w:val="18"/>
                <w:szCs w:val="18"/>
              </w:rPr>
              <w:t>进行赋码</w:t>
            </w:r>
          </w:p>
        </w:tc>
        <w:tc>
          <w:tcPr>
            <w:tcW w:w="2013" w:type="dxa"/>
          </w:tcPr>
          <w:p w:rsidR="00D30185" w:rsidRDefault="00D30185" w:rsidP="001541B5">
            <w:pPr>
              <w:adjustRightInd w:val="0"/>
              <w:snapToGrid w:val="0"/>
              <w:spacing w:before="232" w:line="360" w:lineRule="auto"/>
              <w:ind w:leftChars="-9" w:left="-19" w:rightChars="-20" w:right="-42" w:firstLineChars="9" w:firstLine="15"/>
              <w:jc w:val="left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ascii="宋体" w:hAnsi="宋体"/>
                <w:spacing w:val="-8"/>
                <w:sz w:val="18"/>
                <w:szCs w:val="18"/>
              </w:rPr>
              <w:t>从</w:t>
            </w:r>
            <w:r>
              <w:rPr>
                <w:rFonts w:ascii="宋体" w:hAnsi="宋体" w:hint="eastAsia"/>
                <w:spacing w:val="-8"/>
                <w:sz w:val="18"/>
                <w:szCs w:val="18"/>
              </w:rPr>
              <w:t>43</w:t>
            </w:r>
            <w:r>
              <w:rPr>
                <w:rFonts w:ascii="宋体" w:hAnsi="宋体"/>
                <w:spacing w:val="-8"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spacing w:val="-8"/>
                <w:sz w:val="18"/>
                <w:szCs w:val="18"/>
              </w:rPr>
              <w:t>105</w:t>
            </w:r>
            <w:r>
              <w:rPr>
                <w:rFonts w:ascii="宋体" w:hAnsi="宋体"/>
                <w:spacing w:val="-8"/>
                <w:sz w:val="18"/>
                <w:szCs w:val="18"/>
              </w:rPr>
              <w:t>中随机生成21个编号，进行赋码</w:t>
            </w:r>
          </w:p>
        </w:tc>
        <w:tc>
          <w:tcPr>
            <w:tcW w:w="1915" w:type="dxa"/>
          </w:tcPr>
          <w:p w:rsidR="00D30185" w:rsidRDefault="00D30185" w:rsidP="001541B5">
            <w:pPr>
              <w:adjustRightInd w:val="0"/>
              <w:snapToGrid w:val="0"/>
              <w:spacing w:before="232" w:line="360" w:lineRule="auto"/>
              <w:ind w:leftChars="-9" w:left="-19" w:rightChars="-20" w:right="-42" w:firstLineChars="9" w:firstLine="15"/>
              <w:jc w:val="left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ascii="宋体" w:hAnsi="宋体"/>
                <w:spacing w:val="-8"/>
                <w:sz w:val="18"/>
                <w:szCs w:val="18"/>
              </w:rPr>
              <w:t>从</w:t>
            </w:r>
            <w:r>
              <w:rPr>
                <w:rFonts w:ascii="宋体" w:hAnsi="宋体" w:hint="eastAsia"/>
                <w:spacing w:val="-8"/>
                <w:sz w:val="18"/>
                <w:szCs w:val="18"/>
              </w:rPr>
              <w:t>43</w:t>
            </w:r>
            <w:r>
              <w:rPr>
                <w:rFonts w:ascii="宋体" w:hAnsi="宋体"/>
                <w:spacing w:val="-8"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spacing w:val="-8"/>
                <w:sz w:val="18"/>
                <w:szCs w:val="18"/>
              </w:rPr>
              <w:t>105</w:t>
            </w:r>
            <w:r>
              <w:rPr>
                <w:rFonts w:ascii="宋体" w:hAnsi="宋体"/>
                <w:spacing w:val="-8"/>
                <w:sz w:val="18"/>
                <w:szCs w:val="18"/>
              </w:rPr>
              <w:t>中</w:t>
            </w:r>
            <w:r>
              <w:rPr>
                <w:rFonts w:ascii="宋体" w:hAnsi="宋体" w:hint="eastAsia"/>
                <w:spacing w:val="-8"/>
                <w:sz w:val="18"/>
                <w:szCs w:val="18"/>
              </w:rPr>
              <w:t>除Ⅲ组以外的编号中随机生成</w:t>
            </w:r>
            <w:r>
              <w:rPr>
                <w:rFonts w:ascii="宋体" w:hAnsi="宋体"/>
                <w:spacing w:val="-8"/>
                <w:sz w:val="18"/>
                <w:szCs w:val="18"/>
              </w:rPr>
              <w:t>21个编号，进行赋码</w:t>
            </w:r>
          </w:p>
        </w:tc>
        <w:tc>
          <w:tcPr>
            <w:tcW w:w="1886" w:type="dxa"/>
          </w:tcPr>
          <w:p w:rsidR="00D30185" w:rsidRDefault="00D30185" w:rsidP="001541B5">
            <w:pPr>
              <w:adjustRightInd w:val="0"/>
              <w:snapToGrid w:val="0"/>
              <w:spacing w:before="232" w:line="360" w:lineRule="auto"/>
              <w:ind w:leftChars="-9" w:left="-19" w:rightChars="-20" w:right="-42" w:firstLineChars="9" w:firstLine="15"/>
              <w:jc w:val="left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ascii="宋体" w:hAnsi="宋体"/>
                <w:spacing w:val="-8"/>
                <w:sz w:val="18"/>
                <w:szCs w:val="18"/>
              </w:rPr>
              <w:t>从</w:t>
            </w:r>
            <w:r>
              <w:rPr>
                <w:rFonts w:ascii="宋体" w:hAnsi="宋体" w:hint="eastAsia"/>
                <w:spacing w:val="-8"/>
                <w:sz w:val="18"/>
                <w:szCs w:val="18"/>
              </w:rPr>
              <w:t>43</w:t>
            </w:r>
            <w:r>
              <w:rPr>
                <w:rFonts w:ascii="宋体" w:hAnsi="宋体"/>
                <w:spacing w:val="-8"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spacing w:val="-8"/>
                <w:sz w:val="18"/>
                <w:szCs w:val="18"/>
              </w:rPr>
              <w:t>105</w:t>
            </w:r>
            <w:r>
              <w:rPr>
                <w:rFonts w:ascii="宋体" w:hAnsi="宋体"/>
                <w:spacing w:val="-8"/>
                <w:sz w:val="18"/>
                <w:szCs w:val="18"/>
              </w:rPr>
              <w:t>中</w:t>
            </w:r>
            <w:r>
              <w:rPr>
                <w:rFonts w:ascii="宋体" w:hAnsi="宋体" w:hint="eastAsia"/>
                <w:spacing w:val="-8"/>
                <w:sz w:val="18"/>
                <w:szCs w:val="18"/>
              </w:rPr>
              <w:t>除Ⅲ组和Ⅳ组以外的编号中生成</w:t>
            </w:r>
            <w:r>
              <w:rPr>
                <w:rFonts w:ascii="宋体" w:hAnsi="宋体"/>
                <w:spacing w:val="-8"/>
                <w:sz w:val="18"/>
                <w:szCs w:val="18"/>
              </w:rPr>
              <w:t>21个编号，进行赋码</w:t>
            </w:r>
          </w:p>
        </w:tc>
      </w:tr>
    </w:tbl>
    <w:p w:rsidR="00D30185" w:rsidRDefault="00D30185" w:rsidP="00D30185">
      <w:pPr>
        <w:pStyle w:val="a7"/>
        <w:numPr>
          <w:ilvl w:val="2"/>
          <w:numId w:val="0"/>
        </w:numPr>
        <w:autoSpaceDE/>
        <w:autoSpaceDN/>
        <w:spacing w:beforeLines="100" w:line="360" w:lineRule="auto"/>
      </w:pPr>
      <w:r>
        <w:rPr>
          <w:rFonts w:hAnsi="黑体" w:hint="eastAsia"/>
          <w:bCs/>
          <w:szCs w:val="21"/>
        </w:rPr>
        <w:lastRenderedPageBreak/>
        <w:t xml:space="preserve">1.4 </w:t>
      </w:r>
      <w:r>
        <w:rPr>
          <w:rFonts w:hint="eastAsia"/>
        </w:rPr>
        <w:t>测试考查</w:t>
      </w:r>
    </w:p>
    <w:p w:rsidR="00D30185" w:rsidRDefault="00D30185" w:rsidP="00D30185">
      <w:pPr>
        <w:pStyle w:val="a6"/>
        <w:autoSpaceDE/>
        <w:autoSpaceDN/>
        <w:spacing w:line="360" w:lineRule="auto"/>
        <w:ind w:firstLineChars="0" w:firstLine="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1.4.1 临界值考查实验</w:t>
      </w:r>
    </w:p>
    <w:p w:rsidR="00D30185" w:rsidRDefault="00D30185" w:rsidP="00D30185">
      <w:pPr>
        <w:pStyle w:val="a6"/>
        <w:spacing w:line="360" w:lineRule="auto"/>
        <w:ind w:firstLine="420"/>
        <w:rPr>
          <w:rFonts w:hAnsi="宋体" w:cs="宋体"/>
        </w:rPr>
      </w:pPr>
      <w:r>
        <w:rPr>
          <w:rFonts w:hAnsi="宋体" w:cs="宋体" w:hint="eastAsia"/>
        </w:rPr>
        <w:t>按照产品说明书，对21份添加浓度为1倍MRL水平的加标样品进行检测，根据仪器读数得到样品测定浓度值，记录全部结果，其中测得的最小测定浓度值为</w:t>
      </w:r>
      <w:r>
        <w:rPr>
          <w:rFonts w:hAnsi="宋体" w:cs="宋体" w:hint="eastAsia"/>
          <w:b/>
          <w:bCs/>
        </w:rPr>
        <w:t>阳性临界值</w:t>
      </w:r>
      <w:r>
        <w:rPr>
          <w:rFonts w:hAnsi="宋体" w:cs="宋体" w:hint="eastAsia"/>
        </w:rPr>
        <w:t>（Positive critical value，PCV）。</w:t>
      </w:r>
    </w:p>
    <w:p w:rsidR="00D30185" w:rsidRDefault="00D30185" w:rsidP="00D30185">
      <w:pPr>
        <w:spacing w:line="360" w:lineRule="auto"/>
        <w:ind w:firstLine="482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</w:rPr>
        <w:t>以同样方式，对21份空白样品进行分析，记录全部结果，并分别与阳性临界值进行比较，其中大于阳性临界值的结果判定为“假阳性”。</w:t>
      </w:r>
    </w:p>
    <w:p w:rsidR="00D30185" w:rsidRDefault="00D30185" w:rsidP="00D30185">
      <w:pPr>
        <w:pStyle w:val="a6"/>
        <w:spacing w:line="360" w:lineRule="auto"/>
        <w:ind w:firstLineChars="0" w:firstLine="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1.4.2 梯度MRL考查实验</w:t>
      </w:r>
    </w:p>
    <w:p w:rsidR="00D30185" w:rsidRDefault="00D30185" w:rsidP="00D30185">
      <w:pPr>
        <w:spacing w:line="360" w:lineRule="auto"/>
        <w:ind w:firstLine="482"/>
        <w:rPr>
          <w:rFonts w:ascii="宋体" w:hAnsi="宋体" w:cs="宋体" w:hint="eastAsia"/>
          <w:bCs/>
        </w:rPr>
      </w:pPr>
      <w:r>
        <w:rPr>
          <w:rFonts w:ascii="宋体" w:hAnsi="宋体" w:cs="宋体" w:hint="eastAsia"/>
          <w:bCs/>
        </w:rPr>
        <w:t>以同样方式，对添加浓度为0.25倍MRL、1倍MRL、1.5倍MRL水平的3组加标样品进行检测，记录全部结果。</w:t>
      </w:r>
    </w:p>
    <w:p w:rsidR="00D30185" w:rsidRDefault="00D30185" w:rsidP="00D30185">
      <w:pPr>
        <w:spacing w:line="360" w:lineRule="auto"/>
        <w:ind w:firstLine="482"/>
        <w:rPr>
          <w:rFonts w:ascii="宋体" w:hAnsi="宋体" w:cs="宋体" w:hint="eastAsia"/>
          <w:bCs/>
        </w:rPr>
      </w:pPr>
      <w:r>
        <w:rPr>
          <w:rFonts w:ascii="宋体" w:hAnsi="宋体" w:cs="宋体" w:hint="eastAsia"/>
          <w:bCs/>
        </w:rPr>
        <w:t>——0.25倍MRL添加水平的加标样品测定浓度值，若大于MRL值，判定为“假阳性”。</w:t>
      </w:r>
    </w:p>
    <w:p w:rsidR="00D30185" w:rsidRDefault="00D30185" w:rsidP="00D30185">
      <w:pPr>
        <w:spacing w:line="360" w:lineRule="auto"/>
        <w:ind w:firstLine="482"/>
        <w:rPr>
          <w:rFonts w:ascii="宋体" w:hAnsi="宋体" w:cs="宋体" w:hint="eastAsia"/>
          <w:bCs/>
        </w:rPr>
      </w:pPr>
      <w:r>
        <w:rPr>
          <w:rFonts w:ascii="宋体" w:hAnsi="宋体" w:cs="宋体" w:hint="eastAsia"/>
          <w:bCs/>
        </w:rPr>
        <w:t>——1倍MRL添加水平的加标样品测定浓度值应符合表2规定的RSD及可接受范围。若大于MRL时，判定为“超标”；大于等于可接受范围下限且小于MRL时，判定为“弱阳性”；小于可接受范围下限，判定为“假阴性”。</w:t>
      </w:r>
    </w:p>
    <w:p w:rsidR="00D30185" w:rsidRDefault="00D30185" w:rsidP="00D30185">
      <w:pPr>
        <w:spacing w:line="360" w:lineRule="auto"/>
        <w:ind w:firstLineChars="200" w:firstLine="360"/>
        <w:rPr>
          <w:rFonts w:ascii="宋体" w:hAnsi="宋体" w:cs="宋体"/>
          <w:bCs/>
          <w:sz w:val="18"/>
          <w:szCs w:val="18"/>
        </w:rPr>
      </w:pPr>
      <w:r>
        <w:rPr>
          <w:rFonts w:ascii="黑体" w:eastAsia="黑体" w:hAnsi="黑体" w:cs="黑体" w:hint="eastAsia"/>
          <w:bCs/>
          <w:sz w:val="18"/>
          <w:szCs w:val="18"/>
        </w:rPr>
        <w:t>注：</w:t>
      </w:r>
      <w:r>
        <w:rPr>
          <w:rFonts w:ascii="宋体" w:hAnsi="宋体" w:cs="宋体" w:hint="eastAsia"/>
          <w:bCs/>
          <w:sz w:val="18"/>
          <w:szCs w:val="18"/>
        </w:rPr>
        <w:t xml:space="preserve">“超标”和“弱阳性”合并统计为阳性结果。 </w:t>
      </w:r>
    </w:p>
    <w:p w:rsidR="00D30185" w:rsidRDefault="00D30185" w:rsidP="00D30185">
      <w:pPr>
        <w:spacing w:beforeLines="50" w:afterLines="50"/>
        <w:ind w:firstLineChars="1400" w:firstLine="29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表2 农药残留检测性能评价的可接受范围</w:t>
      </w:r>
    </w:p>
    <w:tbl>
      <w:tblPr>
        <w:tblW w:w="7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85"/>
        <w:gridCol w:w="2396"/>
        <w:gridCol w:w="1795"/>
      </w:tblGrid>
      <w:tr w:rsidR="00D30185" w:rsidTr="001541B5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85" w:rsidRDefault="00D30185" w:rsidP="001541B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目标农药最大残留限量（MRL）</w:t>
            </w:r>
          </w:p>
          <w:p w:rsidR="00D30185" w:rsidRDefault="00D30185" w:rsidP="001541B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mg/kg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85" w:rsidRDefault="00D30185" w:rsidP="001541B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相对标准偏差（RSD）</w:t>
            </w:r>
          </w:p>
          <w:p w:rsidR="00D30185" w:rsidRDefault="00D30185" w:rsidP="001541B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%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85" w:rsidRDefault="00D30185" w:rsidP="001541B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可接受范围</w:t>
            </w:r>
          </w:p>
        </w:tc>
      </w:tr>
      <w:tr w:rsidR="00D30185" w:rsidTr="001541B5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85" w:rsidRDefault="00D30185" w:rsidP="001541B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MRL≤0.1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85" w:rsidRDefault="00D30185" w:rsidP="001541B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≤25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85" w:rsidRDefault="00D30185" w:rsidP="001541B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0.5MRL-1.5MRL</w:t>
            </w:r>
          </w:p>
        </w:tc>
      </w:tr>
      <w:tr w:rsidR="00D30185" w:rsidTr="001541B5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85" w:rsidRDefault="00D30185" w:rsidP="001541B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MRL＞0.1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85" w:rsidRDefault="00D30185" w:rsidP="001541B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≤20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85" w:rsidRDefault="00D30185" w:rsidP="001541B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0.6MRL-1.4MRL</w:t>
            </w:r>
          </w:p>
        </w:tc>
      </w:tr>
    </w:tbl>
    <w:p w:rsidR="00D30185" w:rsidRDefault="00D30185" w:rsidP="00D30185">
      <w:pPr>
        <w:spacing w:beforeLines="100"/>
        <w:ind w:firstLineChars="200" w:firstLine="420"/>
        <w:rPr>
          <w:rFonts w:ascii="黑体" w:eastAsia="黑体" w:hAnsi="黑体" w:cs="黑体"/>
        </w:rPr>
      </w:pPr>
      <w:r>
        <w:rPr>
          <w:rFonts w:ascii="宋体" w:hAnsi="宋体" w:cs="宋体" w:hint="eastAsia"/>
          <w:bCs/>
          <w:color w:val="000000"/>
          <w:szCs w:val="21"/>
        </w:rPr>
        <w:t>——</w:t>
      </w:r>
      <w:r>
        <w:rPr>
          <w:rFonts w:ascii="宋体" w:hAnsi="宋体" w:cs="宋体" w:hint="eastAsia"/>
          <w:bCs/>
        </w:rPr>
        <w:t>1.5倍MRL添加水平的</w:t>
      </w:r>
      <w:r>
        <w:rPr>
          <w:rFonts w:ascii="宋体" w:hAnsi="宋体" w:cs="宋体" w:hint="eastAsia"/>
          <w:color w:val="000000"/>
          <w:szCs w:val="21"/>
        </w:rPr>
        <w:t>加标样品测定浓度值</w:t>
      </w:r>
      <w:r>
        <w:rPr>
          <w:rFonts w:ascii="宋体" w:hAnsi="宋体" w:cs="宋体" w:hint="eastAsia"/>
          <w:bCs/>
        </w:rPr>
        <w:t>，若小于MRL值，判定为“假阴性”。</w:t>
      </w:r>
    </w:p>
    <w:p w:rsidR="00D30185" w:rsidRDefault="00D30185" w:rsidP="00D30185">
      <w:pPr>
        <w:pStyle w:val="a6"/>
        <w:spacing w:line="360" w:lineRule="auto"/>
        <w:ind w:firstLineChars="0" w:firstLine="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2. 评价结论</w:t>
      </w:r>
    </w:p>
    <w:p w:rsidR="00D30185" w:rsidRDefault="00D30185" w:rsidP="00D30185">
      <w:pPr>
        <w:pStyle w:val="a6"/>
        <w:autoSpaceDE/>
        <w:autoSpaceDN/>
        <w:spacing w:line="360" w:lineRule="auto"/>
        <w:ind w:firstLine="420"/>
        <w:rPr>
          <w:rFonts w:hAnsi="黑体"/>
          <w:bCs/>
          <w:szCs w:val="21"/>
        </w:rPr>
      </w:pPr>
      <w:r>
        <w:rPr>
          <w:rFonts w:hAnsi="黑体" w:hint="eastAsia"/>
          <w:bCs/>
          <w:szCs w:val="21"/>
        </w:rPr>
        <w:t>评价指标同时满足以下要求时，产品的评价结论为通过，否则为不通过。</w:t>
      </w:r>
    </w:p>
    <w:p w:rsidR="00D30185" w:rsidRDefault="00D30185" w:rsidP="00D30185">
      <w:pPr>
        <w:pStyle w:val="a6"/>
        <w:autoSpaceDE/>
        <w:autoSpaceDN/>
        <w:spacing w:line="360" w:lineRule="auto"/>
        <w:ind w:firstLine="420"/>
        <w:rPr>
          <w:rFonts w:hAnsi="宋体" w:cs="宋体"/>
        </w:rPr>
      </w:pPr>
      <w:r>
        <w:rPr>
          <w:rFonts w:hAnsi="宋体" w:cs="宋体" w:hint="eastAsia"/>
          <w:bCs/>
        </w:rPr>
        <w:t>——</w:t>
      </w:r>
      <w:r>
        <w:rPr>
          <w:rFonts w:hAnsi="宋体" w:cs="宋体" w:hint="eastAsia"/>
        </w:rPr>
        <w:t>临界值考查实验中</w:t>
      </w:r>
      <w:r>
        <w:rPr>
          <w:rFonts w:hAnsi="宋体" w:cs="宋体" w:hint="eastAsia"/>
          <w:bCs/>
        </w:rPr>
        <w:t>，假阳性个数</w:t>
      </w:r>
      <w:r>
        <w:rPr>
          <w:rFonts w:hAnsi="宋体" w:cs="宋体" w:hint="eastAsia"/>
        </w:rPr>
        <w:t xml:space="preserve">≤1。 </w:t>
      </w:r>
    </w:p>
    <w:p w:rsidR="00D30185" w:rsidRDefault="00D30185" w:rsidP="00D30185">
      <w:pPr>
        <w:pStyle w:val="a6"/>
        <w:spacing w:line="360" w:lineRule="auto"/>
        <w:ind w:firstLine="420"/>
        <w:rPr>
          <w:rFonts w:hAnsi="宋体" w:cs="宋体"/>
        </w:rPr>
      </w:pPr>
      <w:r>
        <w:rPr>
          <w:rFonts w:hAnsi="宋体" w:cs="宋体" w:hint="eastAsia"/>
        </w:rPr>
        <w:t>——梯度MRL考查实验中，应满足：</w:t>
      </w:r>
    </w:p>
    <w:p w:rsidR="00D30185" w:rsidRDefault="00D30185" w:rsidP="00D30185">
      <w:pPr>
        <w:pStyle w:val="a6"/>
        <w:tabs>
          <w:tab w:val="center" w:pos="426"/>
          <w:tab w:val="right" w:leader="dot" w:pos="9298"/>
        </w:tabs>
        <w:autoSpaceDE/>
        <w:autoSpaceDN/>
        <w:spacing w:line="360" w:lineRule="auto"/>
        <w:ind w:firstLine="420"/>
        <w:rPr>
          <w:rFonts w:hAnsi="宋体" w:cs="宋体"/>
        </w:rPr>
      </w:pPr>
      <w:r>
        <w:rPr>
          <w:rFonts w:ascii="华文中宋" w:eastAsia="华文中宋" w:hAnsi="华文中宋" w:cs="华文中宋" w:hint="eastAsia"/>
        </w:rPr>
        <w:t>·</w:t>
      </w:r>
      <w:r>
        <w:rPr>
          <w:rFonts w:hAnsi="宋体" w:cs="宋体" w:hint="eastAsia"/>
        </w:rPr>
        <w:t>假阳性：0.25倍MRL添加浓度的假阳性个数≤2；</w:t>
      </w:r>
    </w:p>
    <w:p w:rsidR="00D30185" w:rsidRDefault="00D30185" w:rsidP="00D30185">
      <w:pPr>
        <w:pStyle w:val="a6"/>
        <w:tabs>
          <w:tab w:val="center" w:pos="426"/>
          <w:tab w:val="right" w:leader="dot" w:pos="9298"/>
        </w:tabs>
        <w:autoSpaceDE/>
        <w:autoSpaceDN/>
        <w:spacing w:line="360" w:lineRule="auto"/>
        <w:ind w:firstLine="420"/>
        <w:rPr>
          <w:rFonts w:hAnsi="宋体" w:cs="宋体"/>
        </w:rPr>
      </w:pPr>
      <w:r>
        <w:rPr>
          <w:rFonts w:ascii="华文中宋" w:eastAsia="华文中宋" w:hAnsi="华文中宋" w:cs="华文中宋" w:hint="eastAsia"/>
        </w:rPr>
        <w:t>·</w:t>
      </w:r>
      <w:r>
        <w:rPr>
          <w:rFonts w:hAnsi="宋体" w:cs="宋体" w:hint="eastAsia"/>
        </w:rPr>
        <w:t>假阴性：1倍MRL添加浓度水平的假阴性个数≤1，1.5倍MRL添加浓度水平的假阴性个数为0；</w:t>
      </w:r>
    </w:p>
    <w:p w:rsidR="00D30185" w:rsidRDefault="00D30185" w:rsidP="00D30185">
      <w:pPr>
        <w:pStyle w:val="a6"/>
        <w:tabs>
          <w:tab w:val="center" w:pos="426"/>
          <w:tab w:val="right" w:leader="dot" w:pos="9298"/>
        </w:tabs>
        <w:ind w:firstLine="420"/>
        <w:rPr>
          <w:rFonts w:hAnsi="宋体" w:cs="宋体"/>
        </w:rPr>
      </w:pPr>
      <w:r>
        <w:rPr>
          <w:rFonts w:ascii="华文中宋" w:eastAsia="华文中宋" w:hAnsi="华文中宋" w:cs="华文中宋" w:hint="eastAsia"/>
        </w:rPr>
        <w:t>·</w:t>
      </w:r>
      <w:r>
        <w:rPr>
          <w:rFonts w:hAnsi="宋体" w:cs="宋体" w:hint="eastAsia"/>
        </w:rPr>
        <w:t>超标样品：1倍MRL添加浓度水平的超标样品中大于可接受范围上限的个数≤3。</w:t>
      </w:r>
    </w:p>
    <w:p w:rsidR="00D30185" w:rsidRDefault="00D30185" w:rsidP="00D30185">
      <w:pPr>
        <w:pStyle w:val="a6"/>
        <w:tabs>
          <w:tab w:val="center" w:pos="426"/>
          <w:tab w:val="right" w:leader="dot" w:pos="9298"/>
        </w:tabs>
        <w:ind w:firstLineChars="0" w:firstLine="0"/>
        <w:rPr>
          <w:rFonts w:hAnsi="宋体" w:cs="宋体"/>
        </w:rPr>
      </w:pPr>
    </w:p>
    <w:p w:rsidR="00E8202C" w:rsidRPr="00D30185" w:rsidRDefault="00E8202C"/>
    <w:sectPr w:rsidR="00E8202C" w:rsidRPr="00D3018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343" w:rsidRDefault="00DA2343" w:rsidP="00D30185">
      <w:r>
        <w:separator/>
      </w:r>
    </w:p>
  </w:endnote>
  <w:endnote w:type="continuationSeparator" w:id="0">
    <w:p w:rsidR="00DA2343" w:rsidRDefault="00DA2343" w:rsidP="00D30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90D" w:rsidRDefault="00DA2343">
    <w:pPr>
      <w:pStyle w:val="a4"/>
      <w:tabs>
        <w:tab w:val="clear" w:pos="4153"/>
        <w:tab w:val="right" w:pos="9355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1025" type="#_x0000_t202" style="position:absolute;margin-left:-12.4pt;margin-top:-7.45pt;width:27.6pt;height:18.45pt;z-index:251660288;mso-position-horizontal:right;mso-position-horizontal-relative:margin" filled="f" stroked="f" strokeweight=".5pt">
          <v:fill o:detectmouseclick="t"/>
          <v:textbox inset="0,0,0,0">
            <w:txbxContent>
              <w:p w:rsidR="0096790D" w:rsidRDefault="00DA2343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D30185" w:rsidRPr="00D30185">
                  <w:rPr>
                    <w:noProof/>
                    <w:lang w:val="en-US" w:eastAsia="zh-CN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>
      <w:rPr>
        <w:rFonts w:hint="eastAsia"/>
      </w:rPr>
      <w:tab/>
    </w:r>
    <w:r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343" w:rsidRDefault="00DA2343" w:rsidP="00D30185">
      <w:r>
        <w:separator/>
      </w:r>
    </w:p>
  </w:footnote>
  <w:footnote w:type="continuationSeparator" w:id="0">
    <w:p w:rsidR="00DA2343" w:rsidRDefault="00DA2343" w:rsidP="00D30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90D" w:rsidRDefault="00DA2343">
    <w:pPr>
      <w:jc w:val="right"/>
      <w:rPr>
        <w:rFonts w:ascii="黑体" w:eastAsia="黑体" w:hAnsi="黑体" w:cs="黑体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D3FBC"/>
    <w:multiLevelType w:val="multilevel"/>
    <w:tmpl w:val="657D3FBC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.%2　"/>
      <w:lvlJc w:val="left"/>
      <w:pPr>
        <w:ind w:left="851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185"/>
    <w:rsid w:val="00D30185"/>
    <w:rsid w:val="00DA2343"/>
    <w:rsid w:val="00E82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8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0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018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D30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D30185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D30185"/>
    <w:rPr>
      <w:rFonts w:ascii="仿宋" w:eastAsia="仿宋" w:hAnsi="仿宋" w:cs="仿宋"/>
      <w:szCs w:val="21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D30185"/>
    <w:rPr>
      <w:rFonts w:ascii="仿宋" w:eastAsia="仿宋" w:hAnsi="仿宋" w:cs="仿宋"/>
      <w:szCs w:val="21"/>
      <w:lang w:val="zh-CN" w:bidi="zh-CN"/>
    </w:rPr>
  </w:style>
  <w:style w:type="paragraph" w:customStyle="1" w:styleId="a6">
    <w:name w:val="段"/>
    <w:qFormat/>
    <w:rsid w:val="00D30185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7">
    <w:name w:val="附录二级条标题"/>
    <w:basedOn w:val="a"/>
    <w:next w:val="a6"/>
    <w:qFormat/>
    <w:rsid w:val="00D30185"/>
    <w:pPr>
      <w:widowControl/>
      <w:numPr>
        <w:ilvl w:val="2"/>
        <w:numId w:val="1"/>
      </w:numPr>
      <w:wordWrap w:val="0"/>
      <w:overflowPunct w:val="0"/>
      <w:autoSpaceDE w:val="0"/>
      <w:autoSpaceDN w:val="0"/>
      <w:textAlignment w:val="baseline"/>
      <w:outlineLvl w:val="3"/>
    </w:pPr>
    <w:rPr>
      <w:rFonts w:ascii="黑体" w:eastAsia="黑体"/>
      <w:kern w:val="21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1338</Characters>
  <Application>Microsoft Office Word</Application>
  <DocSecurity>0</DocSecurity>
  <Lines>11</Lines>
  <Paragraphs>3</Paragraphs>
  <ScaleCrop>false</ScaleCrop>
  <Company>Microsoft Corporation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Microsoft User</cp:lastModifiedBy>
  <cp:revision>2</cp:revision>
  <dcterms:created xsi:type="dcterms:W3CDTF">2025-09-28T07:41:00Z</dcterms:created>
  <dcterms:modified xsi:type="dcterms:W3CDTF">2025-09-28T07:42:00Z</dcterms:modified>
</cp:coreProperties>
</file>