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04301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EC3629A">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38AA9C04">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14:paraId="33722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4333D2B">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7CBE8145">
            <w:pPr>
              <w:pStyle w:val="19"/>
              <w:framePr w:wrap="notBeside" w:vAnchor="page" w:hAnchor="page" w:x="1372" w:y="568"/>
              <w:tabs>
                <w:tab w:val="clear" w:pos="4153"/>
                <w:tab w:val="clear" w:pos="8306"/>
              </w:tabs>
              <w:spacing w:before="40" w:line="240" w:lineRule="auto"/>
              <w:jc w:val="left"/>
              <w:rPr>
                <w:rFonts w:hint="default" w:ascii="黑体" w:hAnsi="黑体" w:eastAsia="黑体"/>
                <w:sz w:val="21"/>
                <w:szCs w:val="21"/>
                <w:lang w:val="en-US" w:eastAsia="zh-CN"/>
              </w:rPr>
            </w:pPr>
            <w:r>
              <w:rPr>
                <w:rFonts w:hint="eastAsia" w:ascii="黑体" w:hAnsi="黑体" w:eastAsia="黑体"/>
                <w:sz w:val="21"/>
                <w:szCs w:val="21"/>
                <w:lang w:val="en-US" w:eastAsia="zh-CN"/>
              </w:rPr>
              <w:t>B 24</w:t>
            </w:r>
          </w:p>
        </w:tc>
      </w:tr>
    </w:tbl>
    <w:p w14:paraId="3E6BD6E7">
      <w:pPr>
        <w:pStyle w:val="55"/>
        <w:framePr w:w="9639" w:h="624" w:hRule="exact" w:hSpace="181" w:vSpace="181" w:wrap="around" w:hAnchor="page" w:x="1305" w:y="2269"/>
        <w:rPr>
          <w:rFonts w:ascii="黑体" w:hAnsi="黑体" w:eastAsia="黑体"/>
          <w:b w:val="0"/>
          <w:bCs w:val="0"/>
          <w:w w:val="100"/>
          <w:sz w:val="48"/>
          <w:szCs w:val="48"/>
        </w:rPr>
      </w:pPr>
      <w:bookmarkStart w:id="1" w:name="_Hlk26473981"/>
      <w:r>
        <w:rPr>
          <w:rFonts w:hint="eastAsia" w:ascii="黑体" w:hAnsi="黑体" w:eastAsia="黑体"/>
          <w:b w:val="0"/>
          <w:bCs w:val="0"/>
          <w:w w:val="100"/>
          <w:sz w:val="48"/>
          <w:szCs w:val="48"/>
        </w:rPr>
        <w:t>中华人民共和国</w:t>
      </w:r>
      <w:r>
        <w:rPr>
          <w:rFonts w:hint="eastAsia" w:ascii="黑体" w:hAnsi="黑体" w:eastAsia="黑体"/>
          <w:b w:val="0"/>
          <w:bCs w:val="0"/>
          <w:w w:val="100"/>
          <w:sz w:val="48"/>
          <w:szCs w:val="48"/>
          <w:lang w:val="en-US" w:eastAsia="zh-CN"/>
        </w:rPr>
        <w:t>农业</w:t>
      </w:r>
      <w:r>
        <w:rPr>
          <w:rFonts w:hint="eastAsia" w:ascii="黑体" w:hAnsi="黑体" w:eastAsia="黑体"/>
          <w:b w:val="0"/>
          <w:bCs w:val="0"/>
          <w:w w:val="100"/>
          <w:sz w:val="48"/>
          <w:szCs w:val="48"/>
        </w:rPr>
        <w:t>行业标准</w:t>
      </w:r>
    </w:p>
    <w:bookmarkEnd w:id="1"/>
    <w:p w14:paraId="4A202473">
      <w:pPr>
        <w:pStyle w:val="200"/>
      </w:pPr>
      <w:r>
        <w:fldChar w:fldCharType="begin">
          <w:ffData>
            <w:name w:val="文字1"/>
            <w:enabled/>
            <w:calcOnExit w:val="0"/>
            <w:textInput>
              <w:default w:val="XX"/>
            </w:textInput>
          </w:ffData>
        </w:fldChar>
      </w:r>
      <w:bookmarkStart w:id="2" w:name="文字1"/>
      <w:r>
        <w:instrText xml:space="preserve"> FORMTEXT </w:instrText>
      </w:r>
      <w:r>
        <w:fldChar w:fldCharType="separate"/>
      </w:r>
      <w:r>
        <w:t>NY/T</w:t>
      </w:r>
      <w:r>
        <w:fldChar w:fldCharType="end"/>
      </w:r>
      <w:bookmarkEnd w:id="2"/>
      <w:r>
        <w:t xml:space="preserve"> </w:t>
      </w:r>
      <w:r>
        <w:fldChar w:fldCharType="begin">
          <w:ffData>
            <w:name w:val="NSTD_CODE_F"/>
            <w:enabled/>
            <w:calcOnExit w:val="0"/>
            <w:textInput>
              <w:default w:val="XXXXX"/>
            </w:textInput>
          </w:ffData>
        </w:fldChar>
      </w:r>
      <w:bookmarkStart w:id="3" w:name="NSTD_CODE_F"/>
      <w:r>
        <w:instrText xml:space="preserve"> FORMTEXT </w:instrText>
      </w:r>
      <w:r>
        <w:fldChar w:fldCharType="separate"/>
      </w:r>
      <w:r>
        <w:t>XXXXX</w:t>
      </w:r>
      <w:r>
        <w:fldChar w:fldCharType="end"/>
      </w:r>
      <w:bookmarkEnd w:id="3"/>
      <w:r>
        <w:rPr>
          <w:rFonts w:hAnsi="黑体"/>
        </w:rPr>
        <w:t>—</w:t>
      </w:r>
      <w:r>
        <w:fldChar w:fldCharType="begin">
          <w:ffData>
            <w:name w:val="NSTD_CODE_B"/>
            <w:enabled/>
            <w:calcOnExit w:val="0"/>
            <w:textInput>
              <w:default w:val="XXXX"/>
            </w:textInput>
          </w:ffData>
        </w:fldChar>
      </w:r>
      <w:bookmarkStart w:id="4" w:name="NSTD_CODE_B"/>
      <w:r>
        <w:instrText xml:space="preserve"> FORMTEXT </w:instrText>
      </w:r>
      <w:r>
        <w:fldChar w:fldCharType="separate"/>
      </w:r>
      <w:r>
        <w:t>XXXX</w:t>
      </w:r>
      <w:r>
        <w:fldChar w:fldCharType="end"/>
      </w:r>
      <w:bookmarkEnd w:id="4"/>
    </w:p>
    <w:p w14:paraId="4E232306">
      <w:pPr>
        <w:pStyle w:val="201"/>
        <w:rPr>
          <w:rFonts w:hAnsi="黑体"/>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5"/>
    </w:p>
    <w:p w14:paraId="35036F74">
      <w:pPr>
        <w:pStyle w:val="54"/>
        <w:framePr w:w="0" w:hRule="auto" w:wrap="around" w:x="7089" w:y="398"/>
        <w:ind w:firstLine="420"/>
      </w:pPr>
      <w:r>
        <w:rPr>
          <w:rFonts w:hint="eastAsia"/>
          <w:lang w:val="en-US" w:eastAsia="zh-CN"/>
        </w:rPr>
        <w:t>NY</w:t>
      </w:r>
    </w:p>
    <w:p w14:paraId="5FD7798C">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85EE9D7">
      <w:pPr>
        <w:pStyle w:val="55"/>
        <w:framePr w:w="9639" w:h="6976" w:hRule="exact" w:hSpace="0" w:vSpace="0" w:wrap="around" w:hAnchor="page" w:y="6408"/>
        <w:jc w:val="center"/>
        <w:rPr>
          <w:rFonts w:ascii="黑体" w:hAnsi="黑体" w:eastAsia="黑体"/>
          <w:b w:val="0"/>
          <w:bCs w:val="0"/>
          <w:w w:val="100"/>
        </w:rPr>
      </w:pPr>
    </w:p>
    <w:p w14:paraId="70C99C7C">
      <w:pPr>
        <w:pStyle w:val="202"/>
        <w:framePr w:h="6974" w:hRule="exact" w:wrap="around" w:x="1419" w:anchorLock="1"/>
      </w:pPr>
      <w:r>
        <w:rPr>
          <w:rFonts w:hint="eastAsia"/>
        </w:rPr>
        <w:t>农产品品质评价实物标样研制技术规范通则</w:t>
      </w:r>
    </w:p>
    <w:p w14:paraId="17066B16">
      <w:pPr>
        <w:framePr w:w="9639" w:h="6974" w:hRule="exact" w:wrap="around" w:vAnchor="page" w:hAnchor="page" w:x="1419" w:y="6408" w:anchorLock="1"/>
        <w:ind w:left="-1418"/>
      </w:pPr>
    </w:p>
    <w:p w14:paraId="7A3E86BC">
      <w:pPr>
        <w:pStyle w:val="130"/>
        <w:framePr w:w="9639" w:h="6974" w:hRule="exact" w:wrap="around" w:vAnchor="page" w:hAnchor="page" w:x="1419" w:y="6408" w:anchorLock="1"/>
        <w:textAlignment w:val="bottom"/>
        <w:rPr>
          <w:rFonts w:hint="eastAsia" w:eastAsia="黑体"/>
          <w:szCs w:val="28"/>
        </w:rPr>
      </w:pPr>
      <w:r>
        <w:rPr>
          <w:rFonts w:hint="eastAsia" w:eastAsia="黑体"/>
          <w:szCs w:val="28"/>
        </w:rPr>
        <w:t>General Technical Specification for the Development of Physical Reference Materials for Agricultural Product Quality Evaluation</w:t>
      </w:r>
    </w:p>
    <w:p w14:paraId="77444294">
      <w:pPr>
        <w:framePr w:w="9639" w:h="6974" w:hRule="exact" w:wrap="around" w:vAnchor="page" w:hAnchor="page" w:x="1419" w:y="6408" w:anchorLock="1"/>
        <w:spacing w:line="760" w:lineRule="exact"/>
        <w:ind w:left="-1418"/>
      </w:pPr>
    </w:p>
    <w:p w14:paraId="10BB2D11">
      <w:pPr>
        <w:pStyle w:val="130"/>
        <w:framePr w:w="9639" w:h="6974" w:hRule="exact" w:wrap="around" w:vAnchor="page" w:hAnchor="page" w:x="1419" w:y="6408" w:anchorLock="1"/>
        <w:textAlignment w:val="bottom"/>
        <w:rPr>
          <w:sz w:val="24"/>
          <w:szCs w:val="28"/>
        </w:rPr>
      </w:pPr>
      <w:r>
        <w:rPr>
          <w:rFonts w:hint="eastAsia"/>
          <w:sz w:val="24"/>
          <w:szCs w:val="28"/>
        </w:rPr>
        <w:t>（征求意见稿）</w:t>
      </w:r>
    </w:p>
    <w:p w14:paraId="77BC9E0B">
      <w:pPr>
        <w:pStyle w:val="130"/>
        <w:framePr w:w="9639" w:h="6974" w:hRule="exact" w:wrap="around" w:vAnchor="page" w:hAnchor="page" w:x="1419" w:y="6408" w:anchorLock="1"/>
        <w:spacing w:before="180" w:line="240" w:lineRule="atLeast"/>
        <w:textAlignment w:val="bottom"/>
        <w:rPr>
          <w:sz w:val="21"/>
          <w:szCs w:val="28"/>
        </w:rPr>
      </w:pPr>
    </w:p>
    <w:p w14:paraId="41027B46">
      <w:pPr>
        <w:pStyle w:val="198"/>
        <w:framePr w:wrap="around" w:y="14176"/>
      </w:pPr>
      <w:r>
        <w:rPr>
          <w:rFonts w:ascii="黑体"/>
        </w:rPr>
        <w:fldChar w:fldCharType="begin">
          <w:ffData>
            <w:name w:val="PLSH_DATE_Y"/>
            <w:enabled/>
            <w:calcOnExit w:val="0"/>
            <w:textInput>
              <w:default w:val="XXXX"/>
              <w:maxLength w:val="4"/>
            </w:textInput>
          </w:ffData>
        </w:fldChar>
      </w:r>
      <w:bookmarkStart w:id="6"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hint="eastAsia"/>
        </w:rPr>
        <w:t>发布</w:t>
      </w:r>
    </w:p>
    <w:p w14:paraId="173FFD35">
      <w:pPr>
        <w:pStyle w:val="199"/>
        <w:framePr w:wrap="around" w:y="14176"/>
      </w:pPr>
      <w:r>
        <w:rPr>
          <w:rFonts w:ascii="黑体"/>
        </w:rPr>
        <w:fldChar w:fldCharType="begin">
          <w:ffData>
            <w:name w:val="CROT_DATE_Y"/>
            <w:enabled/>
            <w:calcOnExit w:val="0"/>
            <w:textInput>
              <w:default w:val="XXXX"/>
              <w:maxLength w:val="4"/>
            </w:textInput>
          </w:ffData>
        </w:fldChar>
      </w:r>
      <w:bookmarkStart w:id="9"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实施</w:t>
      </w:r>
    </w:p>
    <w:p w14:paraId="0CE18664">
      <w:pPr>
        <w:pStyle w:val="156"/>
        <w:framePr w:h="584" w:hRule="exact" w:hSpace="181" w:vSpace="181" w:wrap="around" w:y="15027"/>
        <w:rPr>
          <w:rFonts w:hAnsi="黑体"/>
        </w:rPr>
      </w:pPr>
      <w:r>
        <w:rPr>
          <w:rFonts w:hint="eastAsia" w:hAnsi="黑体"/>
          <w:w w:val="100"/>
          <w:sz w:val="28"/>
        </w:rPr>
        <w:t>中华人民共和国农业农村部</w:t>
      </w:r>
      <w:r>
        <w:rPr>
          <w:rFonts w:ascii="Times New Roman"/>
          <w:w w:val="100"/>
          <w:sz w:val="28"/>
          <w:szCs w:val="28"/>
        </w:rPr>
        <w:t>  </w:t>
      </w:r>
      <w:r>
        <w:rPr>
          <w:rStyle w:val="234"/>
          <w:rFonts w:hint="eastAsia" w:hAnsi="黑体"/>
          <w:position w:val="0"/>
        </w:rPr>
        <w:t>发</w:t>
      </w:r>
      <w:r>
        <w:rPr>
          <w:rStyle w:val="234"/>
          <w:rFonts w:hint="eastAsia" w:hAnsi="黑体"/>
          <w:spacing w:val="0"/>
          <w:position w:val="0"/>
        </w:rPr>
        <w:t>布</w:t>
      </w:r>
    </w:p>
    <w:p w14:paraId="7406ADE9">
      <w:pPr>
        <w:rPr>
          <w:rFonts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sdt>
      <w:sdtPr>
        <w:rPr>
          <w:rFonts w:ascii="宋体" w:hAnsi="宋体"/>
        </w:rPr>
        <w:id w:val="147464260"/>
        <w15:color w:val="DBDBDB"/>
        <w:docPartObj>
          <w:docPartGallery w:val="Table of Contents"/>
          <w:docPartUnique/>
        </w:docPartObj>
      </w:sdtPr>
      <w:sdtEndPr>
        <w:rPr>
          <w:rFonts w:ascii="黑体" w:hAnsi="Times New Roman" w:eastAsia="黑体"/>
          <w:sz w:val="32"/>
        </w:rPr>
      </w:sdtEndPr>
      <w:sdtContent>
        <w:p w14:paraId="5E5F0841">
          <w:pPr>
            <w:spacing w:line="240" w:lineRule="auto"/>
            <w:jc w:val="center"/>
            <w:rPr>
              <w:b/>
              <w:bCs/>
              <w:sz w:val="36"/>
              <w:szCs w:val="36"/>
            </w:rPr>
          </w:pPr>
          <w:bookmarkStart w:id="12" w:name="BookMark2"/>
          <w:r>
            <w:rPr>
              <w:rFonts w:ascii="宋体" w:hAnsi="宋体"/>
              <w:b/>
              <w:bCs/>
              <w:sz w:val="36"/>
              <w:szCs w:val="36"/>
            </w:rPr>
            <w:t>目</w:t>
          </w:r>
          <w:r>
            <w:rPr>
              <w:rFonts w:hint="eastAsia" w:ascii="宋体" w:hAnsi="宋体"/>
              <w:b/>
              <w:bCs/>
              <w:sz w:val="36"/>
              <w:szCs w:val="36"/>
            </w:rPr>
            <w:t xml:space="preserve">  次</w:t>
          </w:r>
        </w:p>
        <w:p w14:paraId="7804433D">
          <w:pPr>
            <w:pStyle w:val="20"/>
            <w:tabs>
              <w:tab w:val="right" w:leader="dot" w:pos="9354"/>
            </w:tabs>
            <w:rPr>
              <w:rFonts w:ascii="Times New Roman" w:hAnsi="Times New Roman"/>
              <w:sz w:val="24"/>
              <w:szCs w:val="24"/>
            </w:rPr>
          </w:pPr>
          <w:r>
            <w:fldChar w:fldCharType="begin"/>
          </w:r>
          <w:r>
            <w:instrText xml:space="preserve">TOC \o "1-1" \h \u </w:instrText>
          </w:r>
          <w:r>
            <w:fldChar w:fldCharType="separate"/>
          </w:r>
          <w:r>
            <w:rPr>
              <w:rFonts w:ascii="Times New Roman" w:hAnsi="Times New Roman"/>
              <w:sz w:val="24"/>
              <w:szCs w:val="24"/>
            </w:rPr>
            <w:fldChar w:fldCharType="begin"/>
          </w:r>
          <w:r>
            <w:rPr>
              <w:rFonts w:ascii="Times New Roman" w:hAnsi="Times New Roman"/>
              <w:sz w:val="24"/>
              <w:szCs w:val="24"/>
            </w:rPr>
            <w:instrText xml:space="preserve"> HYPERLINK \l _Toc26923 </w:instrText>
          </w:r>
          <w:r>
            <w:rPr>
              <w:rFonts w:ascii="Times New Roman" w:hAnsi="Times New Roman"/>
              <w:sz w:val="24"/>
              <w:szCs w:val="24"/>
            </w:rPr>
            <w:fldChar w:fldCharType="separate"/>
          </w:r>
          <w:r>
            <w:rPr>
              <w:rFonts w:hint="eastAsia" w:ascii="Times New Roman" w:hAnsi="Times New Roman"/>
              <w:sz w:val="24"/>
              <w:szCs w:val="24"/>
            </w:rPr>
            <w:t>前言</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_Toc26923 \h </w:instrText>
          </w:r>
          <w:r>
            <w:rPr>
              <w:rFonts w:ascii="Times New Roman" w:hAnsi="Times New Roman"/>
              <w:sz w:val="24"/>
              <w:szCs w:val="24"/>
            </w:rPr>
            <w:fldChar w:fldCharType="separate"/>
          </w:r>
          <w:r>
            <w:rPr>
              <w:rFonts w:ascii="Times New Roman" w:hAnsi="Times New Roman"/>
              <w:sz w:val="24"/>
              <w:szCs w:val="24"/>
            </w:rPr>
            <w:t>I</w:t>
          </w:r>
          <w:r>
            <w:rPr>
              <w:rFonts w:ascii="Times New Roman" w:hAnsi="Times New Roman"/>
              <w:sz w:val="24"/>
              <w:szCs w:val="24"/>
            </w:rPr>
            <w:fldChar w:fldCharType="end"/>
          </w:r>
          <w:r>
            <w:rPr>
              <w:rFonts w:ascii="Times New Roman" w:hAnsi="Times New Roman"/>
              <w:sz w:val="24"/>
              <w:szCs w:val="24"/>
            </w:rPr>
            <w:fldChar w:fldCharType="end"/>
          </w:r>
        </w:p>
        <w:p w14:paraId="07F0219D">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_Toc18333 </w:instrText>
          </w:r>
          <w:r>
            <w:rPr>
              <w:rFonts w:ascii="Times New Roman" w:hAnsi="Times New Roman"/>
              <w:sz w:val="24"/>
              <w:szCs w:val="24"/>
            </w:rPr>
            <w:fldChar w:fldCharType="separate"/>
          </w:r>
          <w:r>
            <w:rPr>
              <w:rFonts w:ascii="Times New Roman" w:hAnsi="Times New Roman" w:eastAsia="宋体"/>
              <w:sz w:val="24"/>
              <w:szCs w:val="24"/>
            </w:rPr>
            <w:t xml:space="preserve">1 </w:t>
          </w:r>
          <w:r>
            <w:rPr>
              <w:rFonts w:hint="eastAsia" w:ascii="Times New Roman" w:hAnsi="Times New Roman"/>
              <w:sz w:val="24"/>
              <w:szCs w:val="24"/>
            </w:rPr>
            <w:t>范围</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_Toc18333 \h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14:paraId="25D9C734">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_Toc28661 </w:instrText>
          </w:r>
          <w:r>
            <w:rPr>
              <w:rFonts w:ascii="Times New Roman" w:hAnsi="Times New Roman"/>
              <w:sz w:val="24"/>
              <w:szCs w:val="24"/>
            </w:rPr>
            <w:fldChar w:fldCharType="separate"/>
          </w:r>
          <w:r>
            <w:rPr>
              <w:rFonts w:ascii="Times New Roman" w:hAnsi="Times New Roman" w:eastAsia="宋体"/>
              <w:sz w:val="24"/>
              <w:szCs w:val="24"/>
            </w:rPr>
            <w:t xml:space="preserve">2 </w:t>
          </w:r>
          <w:r>
            <w:rPr>
              <w:rFonts w:hint="eastAsia" w:ascii="Times New Roman" w:hAnsi="Times New Roman"/>
              <w:sz w:val="24"/>
              <w:szCs w:val="24"/>
            </w:rPr>
            <w:t>规范性引用文件</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_Toc28661 \h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14:paraId="4102BD64">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_Toc20884 </w:instrText>
          </w:r>
          <w:r>
            <w:rPr>
              <w:rFonts w:ascii="Times New Roman" w:hAnsi="Times New Roman"/>
              <w:sz w:val="24"/>
              <w:szCs w:val="24"/>
            </w:rPr>
            <w:fldChar w:fldCharType="separate"/>
          </w:r>
          <w:r>
            <w:rPr>
              <w:rFonts w:ascii="Times New Roman" w:hAnsi="Times New Roman" w:eastAsia="宋体"/>
              <w:sz w:val="24"/>
              <w:szCs w:val="24"/>
            </w:rPr>
            <w:t xml:space="preserve">3 </w:t>
          </w:r>
          <w:r>
            <w:rPr>
              <w:rFonts w:hint="eastAsia" w:ascii="Times New Roman" w:hAnsi="Times New Roman"/>
              <w:sz w:val="24"/>
              <w:szCs w:val="24"/>
            </w:rPr>
            <w:t>术语和定义</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_Toc20884 \h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fldChar w:fldCharType="end"/>
          </w:r>
        </w:p>
        <w:p w14:paraId="028E7D5F">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_Toc27571 </w:instrText>
          </w:r>
          <w:r>
            <w:rPr>
              <w:rFonts w:ascii="Times New Roman" w:hAnsi="Times New Roman"/>
              <w:sz w:val="24"/>
              <w:szCs w:val="24"/>
            </w:rPr>
            <w:fldChar w:fldCharType="separate"/>
          </w:r>
          <w:r>
            <w:rPr>
              <w:rFonts w:ascii="Times New Roman" w:hAnsi="Times New Roman" w:eastAsia="宋体"/>
              <w:sz w:val="24"/>
              <w:szCs w:val="24"/>
            </w:rPr>
            <w:t xml:space="preserve">4 </w:t>
          </w:r>
          <w:r>
            <w:rPr>
              <w:rFonts w:hint="eastAsia" w:ascii="Times New Roman" w:hAnsi="Times New Roman"/>
              <w:sz w:val="24"/>
              <w:szCs w:val="24"/>
            </w:rPr>
            <w:t>研制总则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_Toc27571 \h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rPr>
              <w:rFonts w:ascii="Times New Roman" w:hAnsi="Times New Roman"/>
              <w:sz w:val="24"/>
              <w:szCs w:val="24"/>
            </w:rPr>
            <w:fldChar w:fldCharType="end"/>
          </w:r>
        </w:p>
        <w:p w14:paraId="127B9E00">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_Toc13204 </w:instrText>
          </w:r>
          <w:r>
            <w:rPr>
              <w:rFonts w:ascii="Times New Roman" w:hAnsi="Times New Roman"/>
              <w:sz w:val="24"/>
              <w:szCs w:val="24"/>
            </w:rPr>
            <w:fldChar w:fldCharType="separate"/>
          </w:r>
          <w:r>
            <w:rPr>
              <w:rFonts w:ascii="Times New Roman" w:hAnsi="Times New Roman" w:eastAsia="宋体"/>
              <w:sz w:val="24"/>
              <w:szCs w:val="24"/>
            </w:rPr>
            <w:t xml:space="preserve">5 </w:t>
          </w:r>
          <w:r>
            <w:rPr>
              <w:rFonts w:hint="eastAsia" w:ascii="Times New Roman" w:hAnsi="Times New Roman"/>
              <w:sz w:val="24"/>
              <w:szCs w:val="24"/>
            </w:rPr>
            <w:t>研制流程</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_Toc13204 \h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rPr>
              <w:rFonts w:ascii="Times New Roman" w:hAnsi="Times New Roman"/>
              <w:sz w:val="24"/>
              <w:szCs w:val="24"/>
            </w:rPr>
            <w:fldChar w:fldCharType="end"/>
          </w:r>
        </w:p>
        <w:p w14:paraId="7F0C92CD">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_Toc24485 </w:instrText>
          </w:r>
          <w:r>
            <w:rPr>
              <w:rFonts w:ascii="Times New Roman" w:hAnsi="Times New Roman"/>
              <w:sz w:val="24"/>
              <w:szCs w:val="24"/>
            </w:rPr>
            <w:fldChar w:fldCharType="separate"/>
          </w:r>
          <w:r>
            <w:rPr>
              <w:rFonts w:ascii="Times New Roman" w:hAnsi="Times New Roman" w:eastAsia="宋体"/>
              <w:sz w:val="24"/>
              <w:szCs w:val="24"/>
            </w:rPr>
            <w:t xml:space="preserve">6 </w:t>
          </w:r>
          <w:r>
            <w:rPr>
              <w:rFonts w:hint="eastAsia" w:ascii="Times New Roman" w:hAnsi="Times New Roman"/>
              <w:sz w:val="24"/>
              <w:szCs w:val="24"/>
            </w:rPr>
            <w:t>原料采集</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_Toc24485 \h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rPr>
              <w:rFonts w:ascii="Times New Roman" w:hAnsi="Times New Roman"/>
              <w:sz w:val="24"/>
              <w:szCs w:val="24"/>
            </w:rPr>
            <w:fldChar w:fldCharType="end"/>
          </w:r>
        </w:p>
        <w:p w14:paraId="0E862416">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_Toc15622 </w:instrText>
          </w:r>
          <w:r>
            <w:rPr>
              <w:rFonts w:ascii="Times New Roman" w:hAnsi="Times New Roman"/>
              <w:sz w:val="24"/>
              <w:szCs w:val="24"/>
            </w:rPr>
            <w:fldChar w:fldCharType="separate"/>
          </w:r>
          <w:r>
            <w:rPr>
              <w:rFonts w:ascii="Times New Roman" w:hAnsi="Times New Roman" w:eastAsia="宋体"/>
              <w:sz w:val="24"/>
              <w:szCs w:val="24"/>
            </w:rPr>
            <w:t xml:space="preserve">7 </w:t>
          </w:r>
          <w:r>
            <w:rPr>
              <w:rFonts w:hint="eastAsia" w:ascii="Times New Roman" w:hAnsi="Times New Roman"/>
              <w:sz w:val="24"/>
              <w:szCs w:val="24"/>
            </w:rPr>
            <w:t>加工制备</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_Toc15622 \h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rPr>
              <w:rFonts w:ascii="Times New Roman" w:hAnsi="Times New Roman"/>
              <w:sz w:val="24"/>
              <w:szCs w:val="24"/>
            </w:rPr>
            <w:fldChar w:fldCharType="end"/>
          </w:r>
        </w:p>
        <w:p w14:paraId="5675272D">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_Toc31250 </w:instrText>
          </w:r>
          <w:r>
            <w:rPr>
              <w:rFonts w:ascii="Times New Roman" w:hAnsi="Times New Roman"/>
              <w:sz w:val="24"/>
              <w:szCs w:val="24"/>
            </w:rPr>
            <w:fldChar w:fldCharType="separate"/>
          </w:r>
          <w:r>
            <w:rPr>
              <w:rFonts w:ascii="Times New Roman" w:hAnsi="Times New Roman" w:eastAsia="宋体"/>
              <w:sz w:val="24"/>
              <w:szCs w:val="24"/>
            </w:rPr>
            <w:t xml:space="preserve">8 </w:t>
          </w:r>
          <w:r>
            <w:rPr>
              <w:rFonts w:hint="eastAsia" w:ascii="Times New Roman" w:hAnsi="Times New Roman"/>
              <w:sz w:val="24"/>
              <w:szCs w:val="24"/>
            </w:rPr>
            <w:t>分装及储存</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_Toc31250 \h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14:paraId="0B144EAD">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_Toc5522 </w:instrText>
          </w:r>
          <w:r>
            <w:rPr>
              <w:rFonts w:ascii="Times New Roman" w:hAnsi="Times New Roman"/>
              <w:sz w:val="24"/>
              <w:szCs w:val="24"/>
            </w:rPr>
            <w:fldChar w:fldCharType="separate"/>
          </w:r>
          <w:r>
            <w:rPr>
              <w:rFonts w:ascii="Times New Roman" w:hAnsi="Times New Roman" w:eastAsia="宋体"/>
              <w:sz w:val="24"/>
              <w:szCs w:val="24"/>
            </w:rPr>
            <w:t xml:space="preserve">9 </w:t>
          </w:r>
          <w:r>
            <w:rPr>
              <w:rFonts w:hint="eastAsia" w:ascii="Times New Roman" w:hAnsi="Times New Roman"/>
              <w:sz w:val="24"/>
              <w:szCs w:val="24"/>
            </w:rPr>
            <w:t>均匀性评估</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_Toc5522 \h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14:paraId="3F5009AC">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_Toc5270 </w:instrText>
          </w:r>
          <w:r>
            <w:rPr>
              <w:rFonts w:ascii="Times New Roman" w:hAnsi="Times New Roman"/>
              <w:sz w:val="24"/>
              <w:szCs w:val="24"/>
            </w:rPr>
            <w:fldChar w:fldCharType="separate"/>
          </w:r>
          <w:r>
            <w:rPr>
              <w:rFonts w:ascii="Times New Roman" w:hAnsi="Times New Roman" w:eastAsia="宋体"/>
              <w:sz w:val="24"/>
              <w:szCs w:val="24"/>
            </w:rPr>
            <w:t xml:space="preserve">10 </w:t>
          </w:r>
          <w:r>
            <w:rPr>
              <w:rFonts w:hint="eastAsia" w:ascii="Times New Roman" w:hAnsi="Times New Roman"/>
              <w:sz w:val="24"/>
              <w:szCs w:val="24"/>
            </w:rPr>
            <w:t>稳定性评估</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_Toc5270 \h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fldChar w:fldCharType="end"/>
          </w:r>
        </w:p>
        <w:p w14:paraId="5F6D37F2">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_Toc1707 </w:instrText>
          </w:r>
          <w:r>
            <w:rPr>
              <w:rFonts w:ascii="Times New Roman" w:hAnsi="Times New Roman"/>
              <w:sz w:val="24"/>
              <w:szCs w:val="24"/>
            </w:rPr>
            <w:fldChar w:fldCharType="separate"/>
          </w:r>
          <w:r>
            <w:rPr>
              <w:rFonts w:ascii="Times New Roman" w:hAnsi="Times New Roman" w:eastAsia="宋体"/>
              <w:sz w:val="24"/>
              <w:szCs w:val="24"/>
            </w:rPr>
            <w:t xml:space="preserve">11 </w:t>
          </w:r>
          <w:r>
            <w:rPr>
              <w:rFonts w:hint="eastAsia" w:ascii="Times New Roman" w:hAnsi="Times New Roman"/>
              <w:sz w:val="24"/>
              <w:szCs w:val="24"/>
            </w:rPr>
            <w:t>定值</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_Toc1707 \h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fldChar w:fldCharType="end"/>
          </w:r>
        </w:p>
        <w:p w14:paraId="2FACE513">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_Toc30716 </w:instrText>
          </w:r>
          <w:r>
            <w:rPr>
              <w:rFonts w:ascii="Times New Roman" w:hAnsi="Times New Roman"/>
              <w:sz w:val="24"/>
              <w:szCs w:val="24"/>
            </w:rPr>
            <w:fldChar w:fldCharType="separate"/>
          </w:r>
          <w:r>
            <w:rPr>
              <w:rFonts w:ascii="Times New Roman" w:hAnsi="Times New Roman" w:eastAsia="宋体"/>
              <w:sz w:val="24"/>
              <w:szCs w:val="24"/>
            </w:rPr>
            <w:t xml:space="preserve">12 </w:t>
          </w:r>
          <w:r>
            <w:rPr>
              <w:rFonts w:hint="eastAsia" w:ascii="Times New Roman" w:hAnsi="Times New Roman"/>
              <w:sz w:val="24"/>
              <w:szCs w:val="24"/>
            </w:rPr>
            <w:t>不确定度评估</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_Toc30716 \h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fldChar w:fldCharType="end"/>
          </w:r>
        </w:p>
        <w:p w14:paraId="3C3142EA">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_Toc20110 </w:instrText>
          </w:r>
          <w:r>
            <w:rPr>
              <w:rFonts w:ascii="Times New Roman" w:hAnsi="Times New Roman"/>
              <w:sz w:val="24"/>
              <w:szCs w:val="24"/>
            </w:rPr>
            <w:fldChar w:fldCharType="separate"/>
          </w:r>
          <w:r>
            <w:rPr>
              <w:rFonts w:ascii="Times New Roman" w:hAnsi="Times New Roman" w:eastAsia="宋体"/>
              <w:sz w:val="24"/>
              <w:szCs w:val="24"/>
            </w:rPr>
            <w:t xml:space="preserve">13 </w:t>
          </w:r>
          <w:r>
            <w:rPr>
              <w:rFonts w:hint="eastAsia" w:ascii="Times New Roman" w:hAnsi="Times New Roman"/>
              <w:sz w:val="24"/>
              <w:szCs w:val="24"/>
            </w:rPr>
            <w:t>文件和信息编制</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_Toc20110 \h </w:instrText>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r>
            <w:rPr>
              <w:rFonts w:ascii="Times New Roman" w:hAnsi="Times New Roman"/>
              <w:sz w:val="24"/>
              <w:szCs w:val="24"/>
            </w:rPr>
            <w:fldChar w:fldCharType="end"/>
          </w:r>
        </w:p>
        <w:p w14:paraId="79565E66">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_Toc20110 </w:instrText>
          </w:r>
          <w:r>
            <w:rPr>
              <w:rFonts w:ascii="Times New Roman" w:hAnsi="Times New Roman"/>
              <w:sz w:val="24"/>
              <w:szCs w:val="24"/>
            </w:rPr>
            <w:fldChar w:fldCharType="separate"/>
          </w:r>
          <w:r>
            <w:rPr>
              <w:rFonts w:hint="eastAsia" w:ascii="Times New Roman" w:hAnsi="Times New Roman"/>
              <w:sz w:val="24"/>
              <w:szCs w:val="24"/>
            </w:rPr>
            <w:t>附录A</w:t>
          </w:r>
          <w:r>
            <w:rPr>
              <w:rFonts w:ascii="Times New Roman" w:hAnsi="Times New Roman"/>
              <w:sz w:val="24"/>
              <w:szCs w:val="24"/>
            </w:rPr>
            <w:tab/>
          </w:r>
          <w:r>
            <w:rPr>
              <w:rFonts w:hint="eastAsia" w:ascii="Times New Roman" w:hAnsi="Times New Roman"/>
              <w:sz w:val="24"/>
              <w:szCs w:val="24"/>
            </w:rPr>
            <w:t>1</w:t>
          </w:r>
          <w:r>
            <w:rPr>
              <w:rFonts w:ascii="Times New Roman" w:hAnsi="Times New Roman"/>
              <w:sz w:val="24"/>
              <w:szCs w:val="24"/>
            </w:rPr>
            <w:fldChar w:fldCharType="end"/>
          </w:r>
          <w:r>
            <w:rPr>
              <w:rFonts w:hint="eastAsia" w:ascii="Times New Roman" w:hAnsi="Times New Roman"/>
              <w:sz w:val="24"/>
              <w:szCs w:val="24"/>
            </w:rPr>
            <w:t>2</w:t>
          </w:r>
        </w:p>
        <w:p w14:paraId="3D242411">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_Toc20110 </w:instrText>
          </w:r>
          <w:r>
            <w:rPr>
              <w:rFonts w:ascii="Times New Roman" w:hAnsi="Times New Roman"/>
              <w:sz w:val="24"/>
              <w:szCs w:val="24"/>
            </w:rPr>
            <w:fldChar w:fldCharType="separate"/>
          </w:r>
          <w:r>
            <w:rPr>
              <w:rFonts w:hint="eastAsia" w:ascii="Times New Roman" w:hAnsi="Times New Roman"/>
              <w:sz w:val="24"/>
              <w:szCs w:val="24"/>
            </w:rPr>
            <w:t>附录B</w:t>
          </w:r>
          <w:r>
            <w:rPr>
              <w:rFonts w:ascii="Times New Roman" w:hAnsi="Times New Roman"/>
              <w:sz w:val="24"/>
              <w:szCs w:val="24"/>
            </w:rPr>
            <w:tab/>
          </w:r>
          <w:r>
            <w:rPr>
              <w:rFonts w:hint="eastAsia" w:ascii="Times New Roman" w:hAnsi="Times New Roman"/>
              <w:sz w:val="24"/>
              <w:szCs w:val="24"/>
            </w:rPr>
            <w:t>1</w:t>
          </w:r>
          <w:r>
            <w:rPr>
              <w:rFonts w:ascii="Times New Roman" w:hAnsi="Times New Roman"/>
              <w:sz w:val="24"/>
              <w:szCs w:val="24"/>
            </w:rPr>
            <w:fldChar w:fldCharType="end"/>
          </w:r>
          <w:r>
            <w:rPr>
              <w:rFonts w:hint="eastAsia" w:ascii="Times New Roman" w:hAnsi="Times New Roman"/>
              <w:sz w:val="24"/>
              <w:szCs w:val="24"/>
            </w:rPr>
            <w:t>7</w:t>
          </w:r>
        </w:p>
        <w:p w14:paraId="3F71CC64">
          <w:pPr>
            <w:pStyle w:val="20"/>
            <w:tabs>
              <w:tab w:val="right" w:leader="dot" w:pos="9354"/>
            </w:tabs>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\l _Toc20110 </w:instrText>
          </w:r>
          <w:r>
            <w:rPr>
              <w:rFonts w:ascii="Times New Roman" w:hAnsi="Times New Roman"/>
              <w:sz w:val="24"/>
              <w:szCs w:val="24"/>
            </w:rPr>
            <w:fldChar w:fldCharType="separate"/>
          </w:r>
          <w:r>
            <w:rPr>
              <w:rFonts w:hint="eastAsia" w:ascii="Times New Roman" w:hAnsi="Times New Roman"/>
              <w:sz w:val="24"/>
              <w:szCs w:val="24"/>
            </w:rPr>
            <w:t>附录C</w:t>
          </w:r>
          <w:r>
            <w:rPr>
              <w:rFonts w:ascii="Times New Roman" w:hAnsi="Times New Roman"/>
              <w:sz w:val="24"/>
              <w:szCs w:val="24"/>
            </w:rPr>
            <w:tab/>
          </w:r>
          <w:r>
            <w:rPr>
              <w:rFonts w:hint="eastAsia" w:ascii="Times New Roman" w:hAnsi="Times New Roman"/>
              <w:sz w:val="24"/>
              <w:szCs w:val="24"/>
            </w:rPr>
            <w:t>2</w:t>
          </w:r>
          <w:r>
            <w:rPr>
              <w:rFonts w:ascii="Times New Roman" w:hAnsi="Times New Roman"/>
              <w:sz w:val="24"/>
              <w:szCs w:val="24"/>
            </w:rPr>
            <w:fldChar w:fldCharType="end"/>
          </w:r>
          <w:r>
            <w:rPr>
              <w:rFonts w:hint="eastAsia" w:ascii="Times New Roman" w:hAnsi="Times New Roman"/>
              <w:sz w:val="24"/>
              <w:szCs w:val="24"/>
            </w:rPr>
            <w:t>2</w:t>
          </w:r>
        </w:p>
        <w:p w14:paraId="5F05DAFB">
          <w:pPr>
            <w:pStyle w:val="20"/>
            <w:tabs>
              <w:tab w:val="right" w:leader="dot" w:pos="9354"/>
            </w:tabs>
          </w:pPr>
          <w:r>
            <w:rPr>
              <w:rFonts w:ascii="Times New Roman" w:hAnsi="Times New Roman"/>
              <w:sz w:val="24"/>
              <w:szCs w:val="24"/>
            </w:rPr>
            <w:fldChar w:fldCharType="begin"/>
          </w:r>
          <w:r>
            <w:rPr>
              <w:rFonts w:ascii="Times New Roman" w:hAnsi="Times New Roman"/>
              <w:sz w:val="24"/>
              <w:szCs w:val="24"/>
            </w:rPr>
            <w:instrText xml:space="preserve"> HYPERLINK \l _Toc20110 </w:instrText>
          </w:r>
          <w:r>
            <w:rPr>
              <w:rFonts w:ascii="Times New Roman" w:hAnsi="Times New Roman"/>
              <w:sz w:val="24"/>
              <w:szCs w:val="24"/>
            </w:rPr>
            <w:fldChar w:fldCharType="separate"/>
          </w:r>
          <w:r>
            <w:rPr>
              <w:rFonts w:hint="eastAsia" w:ascii="Times New Roman" w:hAnsi="Times New Roman"/>
              <w:sz w:val="24"/>
              <w:szCs w:val="24"/>
            </w:rPr>
            <w:t>附录D</w:t>
          </w:r>
          <w:r>
            <w:rPr>
              <w:rFonts w:ascii="Times New Roman" w:hAnsi="Times New Roman"/>
              <w:sz w:val="24"/>
              <w:szCs w:val="24"/>
            </w:rPr>
            <w:tab/>
          </w:r>
          <w:r>
            <w:rPr>
              <w:rFonts w:hint="eastAsia" w:ascii="Times New Roman" w:hAnsi="Times New Roman"/>
              <w:sz w:val="24"/>
              <w:szCs w:val="24"/>
            </w:rPr>
            <w:t>4</w:t>
          </w:r>
          <w:r>
            <w:rPr>
              <w:rFonts w:ascii="Times New Roman" w:hAnsi="Times New Roman"/>
              <w:sz w:val="24"/>
              <w:szCs w:val="24"/>
            </w:rPr>
            <w:fldChar w:fldCharType="end"/>
          </w:r>
          <w:r>
            <w:rPr>
              <w:rFonts w:hint="eastAsia" w:ascii="Times New Roman" w:hAnsi="Times New Roman"/>
              <w:sz w:val="24"/>
              <w:szCs w:val="24"/>
            </w:rPr>
            <w:t>3</w:t>
          </w:r>
        </w:p>
        <w:p w14:paraId="03EF8FCA">
          <w:pPr>
            <w:pStyle w:val="94"/>
            <w:spacing w:after="468"/>
            <w:sectPr>
              <w:headerReference r:id="rId10" w:type="default"/>
              <w:footerReference r:id="rId12" w:type="default"/>
              <w:headerReference r:id="rId11" w:type="even"/>
              <w:pgSz w:w="11906" w:h="16838"/>
              <w:pgMar w:top="1871" w:right="1134" w:bottom="1134" w:left="1134" w:header="1418" w:footer="1134" w:gutter="284"/>
              <w:pgNumType w:fmt="upperRoman" w:start="1"/>
              <w:cols w:space="425" w:num="1"/>
              <w:formProt w:val="0"/>
              <w:docGrid w:type="lines" w:linePitch="312" w:charSpace="0"/>
            </w:sectPr>
          </w:pPr>
          <w:r>
            <w:fldChar w:fldCharType="end"/>
          </w:r>
        </w:p>
      </w:sdtContent>
    </w:sdt>
    <w:p w14:paraId="27205A6A">
      <w:pPr>
        <w:pStyle w:val="94"/>
        <w:spacing w:after="468"/>
      </w:pPr>
      <w:bookmarkStart w:id="13" w:name="_Toc26923"/>
      <w:r>
        <w:rPr>
          <w:spacing w:val="320"/>
        </w:rPr>
        <w:t>前</w:t>
      </w:r>
      <w:r>
        <w:t>言</w:t>
      </w:r>
      <w:bookmarkEnd w:id="13"/>
    </w:p>
    <w:p w14:paraId="1F396462">
      <w:pPr>
        <w:pStyle w:val="61"/>
        <w:ind w:firstLine="420"/>
      </w:pPr>
      <w:r>
        <w:rPr>
          <w:rFonts w:hint="eastAsia"/>
        </w:rPr>
        <w:t>本文件按照GB/T 1.1—2020《标准化工作导则  第1部分：标准化文件的结构和起草规则》的规定起草。</w:t>
      </w:r>
    </w:p>
    <w:p w14:paraId="09EC9806">
      <w:pPr>
        <w:shd w:val="clear" w:color="auto" w:fill="FFFFFF"/>
        <w:ind w:firstLine="420" w:firstLineChars="200"/>
        <w:jc w:val="left"/>
        <w:rPr>
          <w:rFonts w:hint="eastAsia" w:ascii="宋体" w:hAnsi="Times New Roman"/>
          <w:kern w:val="0"/>
          <w:szCs w:val="20"/>
          <w:lang w:bidi="ar"/>
        </w:rPr>
      </w:pPr>
      <w:r>
        <w:rPr>
          <w:rFonts w:hint="eastAsia" w:ascii="宋体" w:hAnsi="Times New Roman" w:eastAsia="宋体" w:cs="Times New Roman"/>
          <w:kern w:val="0"/>
          <w:sz w:val="21"/>
          <w:szCs w:val="20"/>
          <w:shd w:val="clear" w:color="auto" w:fill="FFFFFF"/>
          <w:lang w:bidi="ar"/>
        </w:rPr>
        <w:t>请注意本文件的某些内容可能涉及专利。本文件的发布机构不承担识别专利的责任。</w:t>
      </w:r>
    </w:p>
    <w:p w14:paraId="75019702">
      <w:pPr>
        <w:pStyle w:val="61"/>
        <w:ind w:firstLine="420"/>
      </w:pPr>
      <w:r>
        <w:rPr>
          <w:rFonts w:hint="eastAsia"/>
        </w:rPr>
        <w:t>本文件由</w:t>
      </w:r>
      <w:r>
        <w:rPr>
          <w:rFonts w:hint="eastAsia" w:ascii="宋体" w:cs="Times New Roman"/>
          <w:bCs w:val="0"/>
          <w:szCs w:val="21"/>
        </w:rPr>
        <w:t>农业农村部</w:t>
      </w:r>
      <w:r>
        <w:rPr>
          <w:rFonts w:hint="eastAsia"/>
          <w:lang w:bidi="ar"/>
        </w:rPr>
        <w:t>农产品质量安全监管司</w:t>
      </w:r>
      <w:r>
        <w:rPr>
          <w:rFonts w:hint="eastAsia"/>
        </w:rPr>
        <w:t>提出。</w:t>
      </w:r>
    </w:p>
    <w:p w14:paraId="7B0772D0">
      <w:pPr>
        <w:pStyle w:val="61"/>
        <w:ind w:firstLine="420"/>
      </w:pPr>
      <w:r>
        <w:rPr>
          <w:rFonts w:hint="eastAsia"/>
        </w:rPr>
        <w:t>本文件由</w:t>
      </w:r>
      <w:r>
        <w:rPr>
          <w:rFonts w:hint="eastAsia"/>
          <w:lang w:bidi="ar"/>
        </w:rPr>
        <w:t>农业农村部农产品营养标准专家委员会</w:t>
      </w:r>
      <w:r>
        <w:rPr>
          <w:rFonts w:hint="eastAsia"/>
        </w:rPr>
        <w:t>归口。</w:t>
      </w:r>
    </w:p>
    <w:p w14:paraId="3937405F">
      <w:pPr>
        <w:pStyle w:val="61"/>
        <w:ind w:firstLine="420"/>
      </w:pPr>
      <w:r>
        <w:rPr>
          <w:rFonts w:hint="eastAsia"/>
        </w:rPr>
        <w:t>本文件起草单位：中国农业科学院农业质量标准与检测技术研究所、中国农业科学院茶叶研究所、中国水稻研究所、……</w:t>
      </w:r>
    </w:p>
    <w:p w14:paraId="17AD5049">
      <w:pPr>
        <w:pStyle w:val="61"/>
        <w:ind w:firstLine="420"/>
      </w:pPr>
      <w:r>
        <w:rPr>
          <w:rFonts w:hint="eastAsia"/>
        </w:rPr>
        <w:t>本文件主要起草人：徐贞贞、杨梦瑞、王雪、王敏、张颖彬、</w:t>
      </w:r>
      <w:r>
        <w:t>周剑</w:t>
      </w:r>
      <w:r>
        <w:rPr>
          <w:rFonts w:hint="eastAsia"/>
        </w:rPr>
        <w:t>、卢林、张慧洁、杨慧、李付凯、李亮……</w:t>
      </w:r>
    </w:p>
    <w:p w14:paraId="6EEDB6D7">
      <w:pPr>
        <w:pStyle w:val="61"/>
        <w:ind w:firstLine="420"/>
      </w:pPr>
    </w:p>
    <w:p w14:paraId="4504455A">
      <w:pPr>
        <w:pStyle w:val="61"/>
        <w:ind w:firstLine="420"/>
        <w:sectPr>
          <w:pgSz w:w="11906" w:h="16838"/>
          <w:pgMar w:top="1871" w:right="1134" w:bottom="1134" w:left="1134" w:header="1418" w:footer="1134" w:gutter="284"/>
          <w:pgNumType w:fmt="upperRoman" w:start="1"/>
          <w:cols w:space="425" w:num="1"/>
          <w:formProt w:val="0"/>
          <w:docGrid w:type="lines" w:linePitch="312" w:charSpace="0"/>
        </w:sectPr>
      </w:pPr>
    </w:p>
    <w:bookmarkEnd w:id="12"/>
    <w:p w14:paraId="110EDAF0">
      <w:pPr>
        <w:spacing w:line="20" w:lineRule="exact"/>
        <w:jc w:val="center"/>
        <w:rPr>
          <w:rFonts w:ascii="黑体" w:hAnsi="黑体" w:eastAsia="黑体"/>
          <w:sz w:val="32"/>
          <w:szCs w:val="32"/>
        </w:rPr>
      </w:pPr>
      <w:bookmarkStart w:id="14" w:name="BookMark4"/>
    </w:p>
    <w:p w14:paraId="01F1DF4A">
      <w:pPr>
        <w:spacing w:line="20" w:lineRule="exact"/>
        <w:jc w:val="center"/>
        <w:rPr>
          <w:rFonts w:ascii="黑体" w:hAnsi="黑体" w:eastAsia="黑体"/>
          <w:sz w:val="32"/>
          <w:szCs w:val="32"/>
        </w:rPr>
      </w:pPr>
    </w:p>
    <w:sdt>
      <w:sdtPr>
        <w:tag w:val="NEW_STAND_NAME"/>
        <w:id w:val="595910757"/>
        <w:lock w:val="sdtLocked"/>
        <w:placeholder>
          <w:docPart w:val="B2629B34DBDB4DAC8E85B4D6895C4015"/>
        </w:placeholder>
      </w:sdtPr>
      <w:sdtContent>
        <w:p w14:paraId="370FD2E7">
          <w:pPr>
            <w:pStyle w:val="182"/>
            <w:spacing w:before="567" w:beforeLines="182" w:after="686" w:afterLines="220"/>
          </w:pPr>
          <w:r>
            <w:rPr>
              <w:rFonts w:hint="eastAsia"/>
            </w:rPr>
            <w:t>农产品品质评价实物标样研制技术规范通则</w:t>
          </w:r>
        </w:p>
      </w:sdtContent>
    </w:sdt>
    <w:p w14:paraId="751ACA86">
      <w:pPr>
        <w:pStyle w:val="109"/>
        <w:spacing w:before="312" w:after="312"/>
      </w:pPr>
      <w:bookmarkStart w:id="15" w:name="_Toc24884211"/>
      <w:bookmarkStart w:id="16" w:name="_Toc26648465"/>
      <w:bookmarkStart w:id="17" w:name="_Toc26986530"/>
      <w:bookmarkStart w:id="18" w:name="_Toc26718930"/>
      <w:bookmarkStart w:id="19" w:name="_Toc24884218"/>
      <w:bookmarkStart w:id="20" w:name="_Toc18333"/>
      <w:bookmarkStart w:id="21" w:name="_Toc26986771"/>
      <w:bookmarkStart w:id="22" w:name="_Toc17233333"/>
      <w:bookmarkStart w:id="23" w:name="_Toc17233325"/>
      <w:r>
        <w:rPr>
          <w:rFonts w:hint="eastAsia"/>
        </w:rPr>
        <w:t>范围</w:t>
      </w:r>
      <w:bookmarkEnd w:id="15"/>
      <w:bookmarkEnd w:id="16"/>
      <w:bookmarkEnd w:id="17"/>
      <w:bookmarkEnd w:id="18"/>
      <w:bookmarkEnd w:id="19"/>
      <w:bookmarkEnd w:id="20"/>
      <w:bookmarkEnd w:id="21"/>
      <w:bookmarkEnd w:id="22"/>
      <w:bookmarkEnd w:id="23"/>
      <w:r>
        <w:rPr>
          <w:rStyle w:val="38"/>
          <w:rFonts w:hint="eastAsia"/>
        </w:rPr>
        <w:footnoteReference w:id="0"/>
      </w:r>
    </w:p>
    <w:p w14:paraId="1FD86906">
      <w:pPr>
        <w:pStyle w:val="61"/>
        <w:ind w:firstLine="420"/>
      </w:pPr>
      <w:bookmarkStart w:id="24" w:name="_Toc17233334"/>
      <w:bookmarkStart w:id="25" w:name="_Toc24884212"/>
      <w:bookmarkStart w:id="26" w:name="_Toc17233326"/>
      <w:bookmarkStart w:id="27" w:name="_Toc24884219"/>
      <w:bookmarkStart w:id="28" w:name="_Toc26648466"/>
      <w:r>
        <w:rPr>
          <w:rFonts w:hint="eastAsia"/>
        </w:rPr>
        <w:t>本文件描述了农产品品质评价实物标样的研制总则、研制流程、原料采集、加工制备、分装及储存、均匀性评估、稳定性评估、溯源性描述、定值、不确定度评定、文件和信息编制的要求。</w:t>
      </w:r>
    </w:p>
    <w:p w14:paraId="124FF84A">
      <w:pPr>
        <w:pStyle w:val="61"/>
        <w:ind w:firstLine="420"/>
      </w:pPr>
      <w:r>
        <w:rPr>
          <w:rFonts w:hint="eastAsia"/>
        </w:rPr>
        <w:t>本文件描述了农产品品质评价用实物标样的基本特征，适用于具备相应专业技术能力和资质的实验室及专业技术人员在实验室内研制实物标样的过程。</w:t>
      </w:r>
    </w:p>
    <w:p w14:paraId="717F4858">
      <w:pPr>
        <w:pStyle w:val="61"/>
        <w:ind w:firstLine="420"/>
      </w:pPr>
      <w:r>
        <w:rPr>
          <w:rFonts w:hint="eastAsia"/>
        </w:rPr>
        <w:t>本文件不适用于高纯度化学品类实物标样的研制。</w:t>
      </w:r>
    </w:p>
    <w:p w14:paraId="3B075147">
      <w:pPr>
        <w:pStyle w:val="109"/>
        <w:spacing w:before="312" w:after="312"/>
      </w:pPr>
      <w:bookmarkStart w:id="29" w:name="_Toc26986531"/>
      <w:bookmarkStart w:id="30" w:name="_Toc26986772"/>
      <w:bookmarkStart w:id="31" w:name="_Toc26718931"/>
      <w:bookmarkStart w:id="32" w:name="_Toc28661"/>
      <w:r>
        <w:rPr>
          <w:rFonts w:hint="eastAsia"/>
        </w:rPr>
        <w:t>规范性引用文件</w:t>
      </w:r>
      <w:bookmarkEnd w:id="24"/>
      <w:bookmarkEnd w:id="25"/>
      <w:bookmarkEnd w:id="26"/>
      <w:bookmarkEnd w:id="27"/>
      <w:bookmarkEnd w:id="28"/>
      <w:bookmarkEnd w:id="29"/>
      <w:bookmarkEnd w:id="30"/>
      <w:bookmarkEnd w:id="31"/>
      <w:bookmarkEnd w:id="32"/>
    </w:p>
    <w:sdt>
      <w:sdtPr>
        <w:rPr>
          <w:rFonts w:hint="eastAsia"/>
        </w:rPr>
        <w:id w:val="715848253"/>
        <w:placeholder>
          <w:docPart w:val="5CF20F3A31344E28809D5482BDD39B6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2C5EDA2">
          <w:pPr>
            <w:pStyle w:val="6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BEEF74E">
      <w:pPr>
        <w:pStyle w:val="235"/>
        <w:ind w:firstLine="420"/>
        <w:rPr>
          <w:rFonts w:ascii="Times New Roman"/>
          <w:color w:val="000000"/>
          <w:szCs w:val="21"/>
          <w:lang w:bidi="ar"/>
        </w:rPr>
      </w:pPr>
      <w:r>
        <w:rPr>
          <w:rFonts w:hint="eastAsia" w:ascii="Times New Roman"/>
          <w:color w:val="000000"/>
          <w:szCs w:val="21"/>
          <w:lang w:bidi="ar"/>
        </w:rPr>
        <w:t>GB/T 15000.2  标准样品工作导则 第2部分：常用术语及定义</w:t>
      </w:r>
    </w:p>
    <w:p w14:paraId="1E3A155A">
      <w:pPr>
        <w:pStyle w:val="235"/>
        <w:ind w:firstLine="420"/>
        <w:rPr>
          <w:rFonts w:ascii="Times New Roman"/>
        </w:rPr>
      </w:pPr>
      <w:r>
        <w:rPr>
          <w:rFonts w:hint="eastAsia" w:ascii="Times New Roman"/>
          <w:color w:val="000000"/>
          <w:szCs w:val="21"/>
          <w:lang w:bidi="ar"/>
        </w:rPr>
        <w:t>GB/T 15000.3  标准样品工作导则 第3部分：标准样品定值和均匀性与稳定性评估</w:t>
      </w:r>
    </w:p>
    <w:p w14:paraId="3551EBB2">
      <w:pPr>
        <w:pStyle w:val="235"/>
        <w:ind w:firstLine="420"/>
        <w:rPr>
          <w:rFonts w:ascii="Times New Roman"/>
        </w:rPr>
      </w:pPr>
      <w:r>
        <w:rPr>
          <w:rFonts w:hint="eastAsia" w:ascii="Times New Roman"/>
        </w:rPr>
        <w:t xml:space="preserve">GB/T 15000.4 </w:t>
      </w:r>
      <w:r>
        <w:rPr>
          <w:rFonts w:ascii="Times New Roman"/>
        </w:rPr>
        <w:t xml:space="preserve"> </w:t>
      </w:r>
      <w:r>
        <w:rPr>
          <w:rFonts w:hint="eastAsia" w:ascii="Times New Roman"/>
        </w:rPr>
        <w:t>标准样品工作导则 第4部分：证书、标签和附带文件的内容</w:t>
      </w:r>
    </w:p>
    <w:p w14:paraId="22CBE8E1">
      <w:pPr>
        <w:pStyle w:val="235"/>
        <w:ind w:firstLine="420"/>
        <w:rPr>
          <w:rFonts w:ascii="Times New Roman"/>
        </w:rPr>
      </w:pPr>
      <w:r>
        <w:rPr>
          <w:rFonts w:hint="eastAsia" w:ascii="Times New Roman"/>
        </w:rPr>
        <w:t>G</w:t>
      </w:r>
      <w:r>
        <w:rPr>
          <w:rFonts w:ascii="Times New Roman"/>
        </w:rPr>
        <w:t>B</w:t>
      </w:r>
      <w:r>
        <w:rPr>
          <w:rFonts w:hint="eastAsia" w:ascii="Times New Roman"/>
        </w:rPr>
        <w:t>/T</w:t>
      </w:r>
      <w:r>
        <w:rPr>
          <w:rFonts w:ascii="Times New Roman"/>
        </w:rPr>
        <w:t xml:space="preserve"> 15000.5  </w:t>
      </w:r>
      <w:r>
        <w:rPr>
          <w:rFonts w:hint="eastAsia" w:ascii="Times New Roman"/>
        </w:rPr>
        <w:t>标准样品工作导则 第5部分：质量控制样品的内部研制</w:t>
      </w:r>
    </w:p>
    <w:p w14:paraId="1312854F">
      <w:pPr>
        <w:pStyle w:val="235"/>
        <w:ind w:firstLine="420"/>
      </w:pPr>
      <w:r>
        <w:rPr>
          <w:rFonts w:hint="eastAsia" w:ascii="Times New Roman"/>
        </w:rPr>
        <w:t>GB/T 15000.6  标准样品工作导则(6) 标准样品包装通则</w:t>
      </w:r>
      <w:r>
        <w:rPr>
          <w:rFonts w:hint="eastAsia"/>
        </w:rPr>
        <w:t xml:space="preserve"> </w:t>
      </w:r>
    </w:p>
    <w:p w14:paraId="7C407206">
      <w:pPr>
        <w:pStyle w:val="235"/>
        <w:ind w:firstLine="420"/>
      </w:pPr>
      <w:r>
        <w:rPr>
          <w:rFonts w:ascii="Times New Roman"/>
          <w:szCs w:val="21"/>
          <w:lang w:bidi="ar"/>
        </w:rPr>
        <w:t xml:space="preserve">GB/T 15000.7  </w:t>
      </w:r>
      <w:r>
        <w:rPr>
          <w:rFonts w:hint="eastAsia"/>
        </w:rPr>
        <w:t>标准样品工作导则 第7部分：标准样品生产者能力的通用要求</w:t>
      </w:r>
    </w:p>
    <w:p w14:paraId="5B7F6F6F">
      <w:pPr>
        <w:pStyle w:val="235"/>
        <w:ind w:firstLine="420"/>
      </w:pPr>
      <w:r>
        <w:rPr>
          <w:rFonts w:ascii="Times New Roman"/>
          <w:szCs w:val="21"/>
          <w:lang w:bidi="ar"/>
        </w:rPr>
        <w:t>GB/T 15000.8</w:t>
      </w:r>
      <w:r>
        <w:rPr>
          <w:rFonts w:hint="eastAsia"/>
        </w:rPr>
        <w:t xml:space="preserve">  标准样品工作导则 第8部分：标准样品的使用</w:t>
      </w:r>
    </w:p>
    <w:p w14:paraId="52FB993D">
      <w:pPr>
        <w:pStyle w:val="235"/>
        <w:ind w:firstLine="420"/>
        <w:rPr>
          <w:rFonts w:ascii="Times New Roman"/>
        </w:rPr>
      </w:pPr>
      <w:r>
        <w:rPr>
          <w:rFonts w:hint="eastAsia" w:ascii="Times New Roman"/>
        </w:rPr>
        <w:t xml:space="preserve">GB/T 16291 </w:t>
      </w:r>
      <w:r>
        <w:rPr>
          <w:rFonts w:ascii="Times New Roman"/>
        </w:rPr>
        <w:t xml:space="preserve"> </w:t>
      </w:r>
      <w:r>
        <w:rPr>
          <w:rFonts w:hint="eastAsia" w:ascii="Times New Roman"/>
        </w:rPr>
        <w:t>感官分析 选拔、培训与管理评价员的一般导则</w:t>
      </w:r>
    </w:p>
    <w:p w14:paraId="08297821">
      <w:pPr>
        <w:pStyle w:val="235"/>
        <w:ind w:firstLine="420"/>
        <w:rPr>
          <w:rFonts w:ascii="Times New Roman"/>
        </w:rPr>
      </w:pPr>
      <w:r>
        <w:rPr>
          <w:rFonts w:hint="eastAsia" w:ascii="Times New Roman"/>
          <w:color w:val="333333"/>
          <w:shd w:val="clear" w:color="auto" w:fill="FFFFFF"/>
        </w:rPr>
        <w:t>ISO 33405:2024</w:t>
      </w:r>
      <w:r>
        <w:rPr>
          <w:rFonts w:hint="eastAsia" w:ascii="Times New Roman"/>
        </w:rPr>
        <w:t xml:space="preserve">  </w:t>
      </w:r>
      <w:r>
        <w:rPr>
          <w:rFonts w:ascii="Times New Roman"/>
        </w:rPr>
        <w:t>Reference materials — Approaches for characterization and assessment of homogeneity and stability</w:t>
      </w:r>
    </w:p>
    <w:p w14:paraId="2AECCE40">
      <w:pPr>
        <w:pStyle w:val="235"/>
        <w:ind w:firstLine="420"/>
        <w:rPr>
          <w:rFonts w:ascii="Times New Roman"/>
        </w:rPr>
      </w:pPr>
      <w:r>
        <w:rPr>
          <w:rFonts w:ascii="Times New Roman"/>
        </w:rPr>
        <w:t>ISO/TR 33402:2025‌</w:t>
      </w:r>
      <w:r>
        <w:rPr>
          <w:rFonts w:hint="eastAsia" w:ascii="Times New Roman"/>
        </w:rPr>
        <w:t xml:space="preserve">  </w:t>
      </w:r>
      <w:r>
        <w:rPr>
          <w:rFonts w:ascii="Times New Roman"/>
        </w:rPr>
        <w:t>‌Good practice in reference material preparation</w:t>
      </w:r>
    </w:p>
    <w:p w14:paraId="60F01055">
      <w:pPr>
        <w:pStyle w:val="235"/>
        <w:ind w:firstLine="420"/>
        <w:rPr>
          <w:rFonts w:ascii="Times New Roman"/>
        </w:rPr>
      </w:pPr>
      <w:r>
        <w:rPr>
          <w:rFonts w:hint="eastAsia" w:ascii="Times New Roman"/>
        </w:rPr>
        <w:t>JJF</w:t>
      </w:r>
      <w:r>
        <w:rPr>
          <w:rFonts w:ascii="Times New Roman"/>
        </w:rPr>
        <w:t xml:space="preserve"> 1005  标准物质通用术语和定义</w:t>
      </w:r>
    </w:p>
    <w:p w14:paraId="1FEA27FA">
      <w:pPr>
        <w:pStyle w:val="235"/>
        <w:ind w:firstLine="420"/>
        <w:rPr>
          <w:rFonts w:ascii="Times New Roman"/>
        </w:rPr>
      </w:pPr>
      <w:r>
        <w:rPr>
          <w:rFonts w:hint="eastAsia" w:ascii="Times New Roman"/>
        </w:rPr>
        <w:t>JJF 1186</w:t>
      </w:r>
      <w:r>
        <w:rPr>
          <w:rFonts w:ascii="Times New Roman"/>
        </w:rPr>
        <w:t xml:space="preserve"> </w:t>
      </w:r>
      <w:r>
        <w:rPr>
          <w:rFonts w:hint="eastAsia" w:ascii="Times New Roman"/>
        </w:rPr>
        <w:t xml:space="preserve"> 标准物质认定证书和标签内容编写规则</w:t>
      </w:r>
    </w:p>
    <w:p w14:paraId="1932983F">
      <w:pPr>
        <w:pStyle w:val="235"/>
        <w:ind w:firstLine="420"/>
        <w:rPr>
          <w:rFonts w:ascii="Times New Roman"/>
        </w:rPr>
      </w:pPr>
      <w:r>
        <w:rPr>
          <w:rFonts w:hint="eastAsia" w:ascii="Times New Roman"/>
        </w:rPr>
        <w:t xml:space="preserve">NY/T 3177 </w:t>
      </w:r>
      <w:r>
        <w:rPr>
          <w:rFonts w:ascii="Times New Roman"/>
        </w:rPr>
        <w:t xml:space="preserve"> </w:t>
      </w:r>
      <w:r>
        <w:rPr>
          <w:rFonts w:hint="eastAsia" w:ascii="Times New Roman"/>
        </w:rPr>
        <w:t>农产品分类与代码</w:t>
      </w:r>
    </w:p>
    <w:p w14:paraId="3FDFEE0F">
      <w:pPr>
        <w:pStyle w:val="109"/>
        <w:spacing w:before="312" w:after="312"/>
      </w:pPr>
      <w:bookmarkStart w:id="33" w:name="_Toc20884"/>
      <w:r>
        <w:rPr>
          <w:rFonts w:hint="eastAsia"/>
          <w:szCs w:val="21"/>
        </w:rPr>
        <w:t>术语和定义</w:t>
      </w:r>
      <w:bookmarkEnd w:id="33"/>
    </w:p>
    <w:sdt>
      <w:sdtPr>
        <w:rPr>
          <w:rFonts w:ascii="Times New Roman"/>
        </w:rPr>
        <w:id w:val="-1909835108"/>
        <w:placeholder>
          <w:docPart w:val="A84D8CB36A3A43258066AB51969AC0F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0CBC8507">
          <w:pPr>
            <w:pStyle w:val="61"/>
            <w:ind w:firstLine="420"/>
          </w:pPr>
          <w:bookmarkStart w:id="34" w:name="_Toc26986532"/>
          <w:bookmarkEnd w:id="34"/>
          <w:r>
            <w:rPr>
              <w:rFonts w:ascii="Times New Roman"/>
            </w:rPr>
            <w:t xml:space="preserve"> ‌ISO/TR 33402:2025‌ </w:t>
          </w:r>
          <w:r>
            <w:rPr>
              <w:rFonts w:hint="eastAsia" w:ascii="Times New Roman"/>
            </w:rPr>
            <w:t>、</w:t>
          </w:r>
          <w:r>
            <w:rPr>
              <w:rFonts w:ascii="Times New Roman"/>
            </w:rPr>
            <w:t>GB/T 15000.</w:t>
          </w:r>
          <w:r>
            <w:rPr>
              <w:rFonts w:hint="eastAsia" w:ascii="Times New Roman"/>
            </w:rPr>
            <w:t>2和</w:t>
          </w:r>
          <w:r>
            <w:rPr>
              <w:rFonts w:ascii="Times New Roman"/>
            </w:rPr>
            <w:t>GB/T 15000.</w:t>
          </w:r>
          <w:r>
            <w:rPr>
              <w:rFonts w:hint="eastAsia" w:ascii="Times New Roman"/>
            </w:rPr>
            <w:t>5</w:t>
          </w:r>
          <w:r>
            <w:rPr>
              <w:rFonts w:hint="eastAsia"/>
            </w:rPr>
            <w:t>界定的以及下列术语和定义适用于本文件。</w:t>
          </w:r>
        </w:p>
      </w:sdtContent>
    </w:sdt>
    <w:p w14:paraId="5618CE8F">
      <w:pPr>
        <w:pStyle w:val="110"/>
        <w:spacing w:before="156" w:after="156"/>
      </w:pPr>
    </w:p>
    <w:p w14:paraId="10B92655">
      <w:pPr>
        <w:pStyle w:val="61"/>
        <w:spacing w:before="156" w:beforeLines="50" w:after="156" w:afterLines="50"/>
        <w:ind w:firstLine="420"/>
        <w:rPr>
          <w:rFonts w:ascii="黑体" w:hAnsi="黑体" w:eastAsia="黑体" w:cs="黑体"/>
          <w:lang w:bidi="ar"/>
        </w:rPr>
      </w:pPr>
      <w:r>
        <w:rPr>
          <w:rFonts w:hint="eastAsia" w:ascii="Times New Roman" w:hAnsi="Times New Roman" w:eastAsia="黑体" w:cs="Times New Roman"/>
          <w:bCs w:val="0"/>
          <w:szCs w:val="21"/>
          <w:lang w:bidi="ar"/>
        </w:rPr>
        <w:t>农产品品质评价实物标样</w:t>
      </w:r>
      <w:r>
        <w:rPr>
          <w:rFonts w:hint="eastAsia" w:ascii="Times New Roman" w:eastAsia="黑体"/>
          <w:lang w:bidi="ar"/>
        </w:rPr>
        <w:t xml:space="preserve"> </w:t>
      </w:r>
      <w:r>
        <w:rPr>
          <w:rFonts w:hint="eastAsia" w:ascii="黑体" w:hAnsi="黑体" w:eastAsia="黑体" w:cs="黑体"/>
          <w:lang w:bidi="ar"/>
        </w:rPr>
        <w:t xml:space="preserve">Physical </w:t>
      </w:r>
      <w:r>
        <w:rPr>
          <w:rFonts w:hint="eastAsia" w:ascii="黑体" w:hAnsi="黑体" w:eastAsia="黑体" w:cs="黑体"/>
          <w:lang w:val="en-US" w:eastAsia="zh-CN" w:bidi="ar"/>
        </w:rPr>
        <w:t>S</w:t>
      </w:r>
      <w:r>
        <w:rPr>
          <w:rFonts w:hint="eastAsia" w:ascii="黑体" w:hAnsi="黑体" w:eastAsia="黑体" w:cs="黑体"/>
          <w:lang w:bidi="ar"/>
        </w:rPr>
        <w:t xml:space="preserve">tandard </w:t>
      </w:r>
      <w:r>
        <w:rPr>
          <w:rFonts w:hint="eastAsia" w:ascii="黑体" w:hAnsi="黑体" w:eastAsia="黑体" w:cs="黑体"/>
          <w:lang w:val="en-US" w:eastAsia="zh-CN" w:bidi="ar"/>
        </w:rPr>
        <w:t>S</w:t>
      </w:r>
      <w:r>
        <w:rPr>
          <w:rFonts w:hint="eastAsia" w:ascii="黑体" w:hAnsi="黑体" w:eastAsia="黑体" w:cs="黑体"/>
          <w:lang w:bidi="ar"/>
        </w:rPr>
        <w:t xml:space="preserve">amples </w:t>
      </w:r>
      <w:r>
        <w:rPr>
          <w:rFonts w:hint="eastAsia" w:ascii="黑体" w:hAnsi="黑体" w:eastAsia="黑体" w:cs="黑体"/>
          <w:lang w:val="en-US" w:eastAsia="zh-CN" w:bidi="ar"/>
        </w:rPr>
        <w:t>F</w:t>
      </w:r>
      <w:r>
        <w:rPr>
          <w:rFonts w:hint="eastAsia" w:ascii="黑体" w:hAnsi="黑体" w:eastAsia="黑体" w:cs="黑体"/>
          <w:lang w:bidi="ar"/>
        </w:rPr>
        <w:t xml:space="preserve">or </w:t>
      </w:r>
      <w:r>
        <w:rPr>
          <w:rFonts w:hint="eastAsia" w:ascii="黑体" w:hAnsi="黑体" w:eastAsia="黑体" w:cs="黑体"/>
          <w:lang w:val="en-US" w:eastAsia="zh-CN" w:bidi="ar"/>
        </w:rPr>
        <w:t>Q</w:t>
      </w:r>
      <w:r>
        <w:rPr>
          <w:rFonts w:hint="eastAsia" w:ascii="黑体" w:hAnsi="黑体" w:eastAsia="黑体" w:cs="黑体"/>
          <w:lang w:bidi="ar"/>
        </w:rPr>
        <w:t xml:space="preserve">uality </w:t>
      </w:r>
      <w:r>
        <w:rPr>
          <w:rFonts w:hint="eastAsia" w:ascii="黑体" w:hAnsi="黑体" w:eastAsia="黑体" w:cs="黑体"/>
          <w:lang w:val="en-US" w:eastAsia="zh-CN" w:bidi="ar"/>
        </w:rPr>
        <w:t>E</w:t>
      </w:r>
      <w:r>
        <w:rPr>
          <w:rFonts w:hint="eastAsia" w:ascii="黑体" w:hAnsi="黑体" w:eastAsia="黑体" w:cs="黑体"/>
          <w:lang w:bidi="ar"/>
        </w:rPr>
        <w:t xml:space="preserve">valuation </w:t>
      </w:r>
      <w:r>
        <w:rPr>
          <w:rFonts w:hint="eastAsia" w:ascii="黑体" w:hAnsi="黑体" w:eastAsia="黑体" w:cs="黑体"/>
          <w:lang w:val="en-US" w:eastAsia="zh-CN" w:bidi="ar"/>
        </w:rPr>
        <w:t>O</w:t>
      </w:r>
      <w:r>
        <w:rPr>
          <w:rFonts w:hint="eastAsia" w:ascii="黑体" w:hAnsi="黑体" w:eastAsia="黑体" w:cs="黑体"/>
          <w:lang w:bidi="ar"/>
        </w:rPr>
        <w:t xml:space="preserve">f </w:t>
      </w:r>
      <w:r>
        <w:rPr>
          <w:rFonts w:hint="eastAsia" w:ascii="黑体" w:hAnsi="黑体" w:eastAsia="黑体" w:cs="黑体"/>
          <w:lang w:val="en-US" w:eastAsia="zh-CN" w:bidi="ar"/>
        </w:rPr>
        <w:t>A</w:t>
      </w:r>
      <w:r>
        <w:rPr>
          <w:rFonts w:hint="eastAsia" w:ascii="黑体" w:hAnsi="黑体" w:eastAsia="黑体" w:cs="黑体"/>
          <w:lang w:bidi="ar"/>
        </w:rPr>
        <w:t xml:space="preserve">gricultural </w:t>
      </w:r>
      <w:r>
        <w:rPr>
          <w:rFonts w:hint="eastAsia" w:ascii="黑体" w:hAnsi="黑体" w:eastAsia="黑体" w:cs="黑体"/>
          <w:lang w:val="en-US" w:eastAsia="zh-CN" w:bidi="ar"/>
        </w:rPr>
        <w:t>P</w:t>
      </w:r>
      <w:r>
        <w:rPr>
          <w:rFonts w:hint="eastAsia" w:ascii="黑体" w:hAnsi="黑体" w:eastAsia="黑体" w:cs="黑体"/>
          <w:lang w:bidi="ar"/>
        </w:rPr>
        <w:t>roducts</w:t>
      </w:r>
    </w:p>
    <w:p w14:paraId="2A005150">
      <w:pPr>
        <w:pStyle w:val="235"/>
        <w:ind w:firstLine="420"/>
        <w:rPr>
          <w:rFonts w:ascii="Times New Roman"/>
        </w:rPr>
      </w:pPr>
      <w:bookmarkStart w:id="35" w:name="_Hlk153954180"/>
      <w:r>
        <w:rPr>
          <w:rFonts w:hint="eastAsia" w:ascii="Times New Roman"/>
        </w:rPr>
        <w:t>由实物制成，具有足够均匀和稳定的一种或多种特性值的样品，其特性值适用于农产品品质评价测量或标称特征值检查中的预期用途。</w:t>
      </w:r>
    </w:p>
    <w:p w14:paraId="693C3A02">
      <w:pPr>
        <w:pStyle w:val="110"/>
        <w:spacing w:before="156" w:after="156"/>
      </w:pPr>
    </w:p>
    <w:p w14:paraId="468A57A9">
      <w:pPr>
        <w:pStyle w:val="61"/>
        <w:spacing w:before="156" w:beforeLines="50" w:after="156" w:afterLines="50"/>
        <w:ind w:firstLine="420"/>
        <w:rPr>
          <w:rFonts w:ascii="Times New Roman" w:eastAsia="黑体"/>
          <w:lang w:bidi="ar"/>
        </w:rPr>
      </w:pPr>
      <w:r>
        <w:rPr>
          <w:rFonts w:hint="eastAsia" w:ascii="Times New Roman" w:eastAsia="黑体"/>
          <w:lang w:bidi="ar"/>
        </w:rPr>
        <w:t xml:space="preserve">有证实物标样 </w:t>
      </w:r>
      <w:r>
        <w:rPr>
          <w:rFonts w:ascii="黑体" w:hAnsi="黑体" w:eastAsia="黑体" w:cs="黑体"/>
          <w:lang w:bidi="ar"/>
        </w:rPr>
        <w:t>Certified Physical Reference Sample</w:t>
      </w:r>
      <w:r>
        <w:rPr>
          <w:rFonts w:hint="eastAsia" w:ascii="Times New Roman" w:eastAsia="黑体"/>
          <w:lang w:bidi="ar"/>
        </w:rPr>
        <w:t>‌</w:t>
      </w:r>
    </w:p>
    <w:p w14:paraId="4451CEAD">
      <w:pPr>
        <w:pStyle w:val="61"/>
        <w:ind w:firstLine="420"/>
      </w:pPr>
      <w:r>
        <w:rPr>
          <w:rFonts w:hint="eastAsia"/>
        </w:rPr>
        <w:t>附有由权威机构发布的文件，提供使用有效程序获得并规定了不确定度和溯源性的具有一种或多种规定特性值的实物标样。</w:t>
      </w:r>
    </w:p>
    <w:bookmarkEnd w:id="35"/>
    <w:p w14:paraId="34D12A0D">
      <w:pPr>
        <w:pStyle w:val="110"/>
        <w:spacing w:before="156" w:after="156"/>
      </w:pPr>
    </w:p>
    <w:p w14:paraId="57470C2A">
      <w:pPr>
        <w:pStyle w:val="61"/>
        <w:spacing w:before="156" w:beforeLines="50" w:after="156" w:afterLines="50"/>
        <w:ind w:firstLine="420"/>
        <w:rPr>
          <w:rFonts w:eastAsia="黑体"/>
        </w:rPr>
      </w:pPr>
      <w:r>
        <w:rPr>
          <w:rFonts w:hint="eastAsia" w:ascii="Times New Roman" w:eastAsia="黑体"/>
          <w:lang w:bidi="ar"/>
        </w:rPr>
        <w:t xml:space="preserve">参考小样 </w:t>
      </w:r>
      <w:r>
        <w:rPr>
          <w:rFonts w:ascii="黑体" w:hAnsi="黑体" w:eastAsia="黑体" w:cs="黑体"/>
          <w:lang w:bidi="ar"/>
        </w:rPr>
        <w:t>‌Reference Sample</w:t>
      </w:r>
    </w:p>
    <w:p w14:paraId="5BAA801F">
      <w:pPr>
        <w:pStyle w:val="235"/>
        <w:ind w:firstLine="420"/>
        <w:rPr>
          <w:rFonts w:ascii="Times New Roman"/>
        </w:rPr>
      </w:pPr>
      <w:r>
        <w:rPr>
          <w:rFonts w:ascii="Times New Roman"/>
          <w:bCs/>
          <w:szCs w:val="21"/>
        </w:rPr>
        <w:t>标样研制初期制备的参考样</w:t>
      </w:r>
      <w:r>
        <w:rPr>
          <w:rFonts w:hint="eastAsia" w:ascii="Times New Roman"/>
          <w:bCs/>
          <w:szCs w:val="21"/>
        </w:rPr>
        <w:t>品</w:t>
      </w:r>
      <w:r>
        <w:rPr>
          <w:rFonts w:hint="eastAsia" w:ascii="Times New Roman"/>
        </w:rPr>
        <w:t>，用于评估可行性与实物样品的稳定性。</w:t>
      </w:r>
    </w:p>
    <w:p w14:paraId="37020F70">
      <w:pPr>
        <w:pStyle w:val="184"/>
      </w:pPr>
      <w:r>
        <w:rPr>
          <w:rFonts w:hint="eastAsia" w:ascii="Times New Roman"/>
        </w:rPr>
        <w:t>由于部分农产品具有鲜活、易腐等特性，存在不均匀与不稳定性，因此应需通过研制参考小样提前进行均匀性、稳定性研究，以确定适宜的制备方式，确保实物样品的有效性。</w:t>
      </w:r>
    </w:p>
    <w:p w14:paraId="17648087">
      <w:pPr>
        <w:pStyle w:val="110"/>
        <w:spacing w:before="156" w:after="156"/>
      </w:pPr>
    </w:p>
    <w:p w14:paraId="6516FDEC">
      <w:pPr>
        <w:pStyle w:val="110"/>
        <w:numPr>
          <w:ilvl w:val="255"/>
          <w:numId w:val="0"/>
        </w:numPr>
        <w:spacing w:before="156" w:after="156"/>
        <w:ind w:firstLine="420" w:firstLineChars="200"/>
        <w:rPr>
          <w:rFonts w:ascii="Times New Roman"/>
          <w:lang w:bidi="ar"/>
        </w:rPr>
      </w:pPr>
      <w:r>
        <w:rPr>
          <w:rFonts w:hint="eastAsia" w:ascii="Times New Roman"/>
          <w:lang w:bidi="ar"/>
        </w:rPr>
        <w:t>样照</w:t>
      </w:r>
    </w:p>
    <w:p w14:paraId="3E183674">
      <w:pPr>
        <w:pStyle w:val="61"/>
        <w:ind w:firstLine="420"/>
      </w:pPr>
      <w:r>
        <w:rPr>
          <w:rFonts w:hint="eastAsia"/>
        </w:rPr>
        <w:t>将表征农产品外观品质的某一个或多个特性值按照一定精密度和</w:t>
      </w:r>
      <w:r>
        <w:rPr>
          <w:rFonts w:hint="eastAsia" w:hAnsi="宋体" w:cs="宋体"/>
          <w:bCs/>
          <w:szCs w:val="21"/>
        </w:rPr>
        <w:t>准确度确定特性值的样品</w:t>
      </w:r>
      <w:r>
        <w:rPr>
          <w:rFonts w:hint="eastAsia"/>
        </w:rPr>
        <w:t>，采用照片或类似印刷品作为载体进行间接呈现的实物标样。</w:t>
      </w:r>
    </w:p>
    <w:p w14:paraId="5BD06F5D">
      <w:pPr>
        <w:pStyle w:val="109"/>
        <w:spacing w:before="312" w:after="312"/>
      </w:pPr>
      <w:bookmarkStart w:id="36" w:name="_Toc27571"/>
      <w:r>
        <w:rPr>
          <w:rFonts w:hint="eastAsia"/>
        </w:rPr>
        <w:t>研制总则</w:t>
      </w:r>
      <w:bookmarkEnd w:id="36"/>
    </w:p>
    <w:p w14:paraId="664D31AD">
      <w:pPr>
        <w:pStyle w:val="110"/>
        <w:spacing w:before="0" w:beforeLines="0" w:after="0" w:afterLines="0"/>
        <w:rPr>
          <w:rFonts w:ascii="宋体" w:hAnsi="宋体" w:eastAsia="宋体"/>
        </w:rPr>
      </w:pPr>
      <w:r>
        <w:rPr>
          <w:rFonts w:hint="eastAsia" w:ascii="宋体" w:hAnsi="宋体" w:eastAsia="宋体"/>
        </w:rPr>
        <w:t>研制前应开展策划工作，确定预期目标，包括实物标样的来源、特性值、基体、数量、定值方法、</w:t>
      </w:r>
      <w:r>
        <w:rPr>
          <w:rFonts w:hint="eastAsia" w:ascii="宋体" w:hAnsi="宋体" w:eastAsia="宋体" w:cs="宋体"/>
          <w:bCs/>
          <w:szCs w:val="21"/>
        </w:rPr>
        <w:t>均匀性和稳定性研究方案、</w:t>
      </w:r>
      <w:r>
        <w:rPr>
          <w:rFonts w:hint="eastAsia" w:ascii="宋体" w:hAnsi="宋体" w:eastAsia="宋体"/>
        </w:rPr>
        <w:t>目标不确定度、使用频率、最小包装单元等。</w:t>
      </w:r>
    </w:p>
    <w:p w14:paraId="3A77B375">
      <w:pPr>
        <w:pStyle w:val="110"/>
        <w:spacing w:before="0" w:beforeLines="0" w:after="0" w:afterLines="0"/>
        <w:rPr>
          <w:rFonts w:ascii="宋体" w:hAnsi="宋体" w:eastAsia="宋体"/>
        </w:rPr>
      </w:pPr>
      <w:r>
        <w:rPr>
          <w:rFonts w:hint="eastAsia" w:ascii="宋体" w:hAnsi="宋体" w:eastAsia="宋体"/>
        </w:rPr>
        <w:t>实物标样的特性值应尽可能的与农产品品质评价的特性值相近。系列实物标样特性值的分布应满足使用要求，以较少、具有代表性的数量覆盖目标特性值范围。</w:t>
      </w:r>
    </w:p>
    <w:p w14:paraId="1D2C61C7">
      <w:pPr>
        <w:pStyle w:val="110"/>
        <w:spacing w:before="0" w:beforeLines="0" w:after="0" w:afterLines="0"/>
        <w:rPr>
          <w:rFonts w:ascii="宋体" w:hAnsi="宋体" w:eastAsia="宋体"/>
        </w:rPr>
      </w:pPr>
      <w:r>
        <w:rPr>
          <w:rFonts w:hint="eastAsia" w:ascii="宋体" w:hAnsi="宋体" w:eastAsia="宋体" w:cs="宋体"/>
          <w:bCs/>
          <w:szCs w:val="21"/>
        </w:rPr>
        <w:t>实物标样的基体应应考虑匹配性，难以找到匹配度高的基体时，考虑采用近似的原料，但应在研制报告中说明基体差异及其对特性值可能产生的影响</w:t>
      </w:r>
      <w:r>
        <w:rPr>
          <w:rFonts w:hint="eastAsia" w:ascii="宋体" w:hAnsi="宋体" w:eastAsia="宋体"/>
        </w:rPr>
        <w:t>。</w:t>
      </w:r>
    </w:p>
    <w:p w14:paraId="6114E13B">
      <w:pPr>
        <w:pStyle w:val="110"/>
        <w:spacing w:before="0" w:beforeLines="0" w:after="0" w:afterLines="0"/>
        <w:rPr>
          <w:rFonts w:hint="eastAsia" w:ascii="宋体" w:hAnsi="宋体" w:eastAsia="宋体"/>
        </w:rPr>
      </w:pPr>
      <w:r>
        <w:rPr>
          <w:rFonts w:hint="eastAsia" w:ascii="宋体" w:hAnsi="宋体" w:eastAsia="宋体"/>
        </w:rPr>
        <w:t>实物标样复制批也应开展定值、均匀性和稳定性评估</w:t>
      </w:r>
      <w:r>
        <w:rPr>
          <w:rFonts w:hint="eastAsia" w:ascii="宋体" w:hAnsi="宋体" w:eastAsia="宋体"/>
          <w:lang w:eastAsia="zh-CN"/>
        </w:rPr>
        <w:t>。</w:t>
      </w:r>
    </w:p>
    <w:p w14:paraId="4AAFD3B4">
      <w:pPr>
        <w:pStyle w:val="109"/>
        <w:spacing w:before="312" w:after="312"/>
      </w:pPr>
      <w:bookmarkStart w:id="37" w:name="_Toc13204"/>
      <w:r>
        <w:rPr>
          <w:rFonts w:hint="eastAsia"/>
        </w:rPr>
        <w:t>研制流程</w:t>
      </w:r>
      <w:bookmarkEnd w:id="37"/>
    </w:p>
    <w:p w14:paraId="56597402">
      <w:pPr>
        <w:pStyle w:val="61"/>
        <w:ind w:firstLine="420"/>
        <w:rPr>
          <w:rFonts w:ascii="Times New Roman"/>
          <w:highlight w:val="yellow"/>
        </w:rPr>
      </w:pPr>
      <w:r>
        <w:rPr>
          <w:rFonts w:hint="eastAsia" w:ascii="Times New Roman"/>
        </w:rPr>
        <w:t>实物标样研制的关键步骤按图1执行。</w:t>
      </w:r>
    </w:p>
    <w:p w14:paraId="40C465D7">
      <w:pPr>
        <w:pStyle w:val="61"/>
        <w:ind w:firstLine="420"/>
        <w:jc w:val="center"/>
        <w:rPr>
          <w:rFonts w:ascii="Times New Roman"/>
          <w:highlight w:val="yellow"/>
        </w:rPr>
      </w:pPr>
    </w:p>
    <w:p w14:paraId="4983BF46">
      <w:pPr>
        <w:pStyle w:val="61"/>
        <w:ind w:firstLine="0" w:firstLineChars="0"/>
        <w:jc w:val="center"/>
      </w:pPr>
      <w:r>
        <w:rPr>
          <w:rFonts w:hint="eastAsia"/>
        </w:rPr>
        <w:drawing>
          <wp:inline distT="0" distB="0" distL="114300" distR="114300">
            <wp:extent cx="4750435" cy="2275205"/>
            <wp:effectExtent l="0" t="0" r="12065" b="10795"/>
            <wp:docPr id="4" name="图片 4" descr="95e78cfc4b053384032a576333d76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5e78cfc4b053384032a576333d764b"/>
                    <pic:cNvPicPr>
                      <a:picLocks noChangeAspect="1"/>
                    </pic:cNvPicPr>
                  </pic:nvPicPr>
                  <pic:blipFill>
                    <a:blip r:embed="rId14"/>
                    <a:stretch>
                      <a:fillRect/>
                    </a:stretch>
                  </pic:blipFill>
                  <pic:spPr>
                    <a:xfrm>
                      <a:off x="0" y="0"/>
                      <a:ext cx="4750435" cy="2275205"/>
                    </a:xfrm>
                    <a:prstGeom prst="rect">
                      <a:avLst/>
                    </a:prstGeom>
                  </pic:spPr>
                </pic:pic>
              </a:graphicData>
            </a:graphic>
          </wp:inline>
        </w:drawing>
      </w:r>
    </w:p>
    <w:p w14:paraId="5E4DB5EC">
      <w:pPr>
        <w:pStyle w:val="119"/>
        <w:spacing w:before="156" w:after="156"/>
      </w:pPr>
      <w:r>
        <w:rPr>
          <w:rFonts w:hint="eastAsia"/>
        </w:rPr>
        <w:t>实物标样研制的关键步骤</w:t>
      </w:r>
    </w:p>
    <w:p w14:paraId="6649023D">
      <w:pPr>
        <w:pStyle w:val="109"/>
        <w:spacing w:before="312" w:after="312"/>
      </w:pPr>
      <w:bookmarkStart w:id="38" w:name="_Toc24485"/>
      <w:r>
        <w:rPr>
          <w:rFonts w:hint="eastAsia"/>
        </w:rPr>
        <w:t>原料采集</w:t>
      </w:r>
      <w:bookmarkEnd w:id="38"/>
    </w:p>
    <w:p w14:paraId="19E7C065">
      <w:pPr>
        <w:pStyle w:val="110"/>
        <w:spacing w:before="0" w:beforeLines="0" w:after="0" w:afterLines="0"/>
        <w:rPr>
          <w:rFonts w:ascii="宋体" w:hAnsi="宋体" w:eastAsia="宋体"/>
        </w:rPr>
      </w:pPr>
      <w:r>
        <w:rPr>
          <w:rFonts w:hint="eastAsia" w:ascii="宋体" w:hAnsi="宋体" w:eastAsia="宋体"/>
        </w:rPr>
        <w:t>原料的采集范围应符合</w:t>
      </w:r>
      <w:r>
        <w:rPr>
          <w:rFonts w:ascii="Times New Roman" w:eastAsia="宋体"/>
        </w:rPr>
        <w:t>NY/T 3177</w:t>
      </w:r>
      <w:r>
        <w:rPr>
          <w:rFonts w:hint="eastAsia" w:ascii="宋体" w:hAnsi="宋体" w:eastAsia="宋体"/>
        </w:rPr>
        <w:t>的要求。宜选择产区内有标准化生产能力的单位提供原料。</w:t>
      </w:r>
    </w:p>
    <w:p w14:paraId="6ACC9B2F">
      <w:pPr>
        <w:pStyle w:val="110"/>
        <w:spacing w:before="0" w:beforeLines="0" w:after="0" w:afterLines="0"/>
        <w:rPr>
          <w:rFonts w:ascii="宋体" w:hAnsi="宋体" w:eastAsia="宋体"/>
        </w:rPr>
      </w:pPr>
      <w:r>
        <w:rPr>
          <w:rFonts w:hint="eastAsia" w:ascii="宋体" w:hAnsi="宋体" w:eastAsia="宋体"/>
        </w:rPr>
        <w:t>原料的生产区域、品种等应完全符合相应文字标准要求；文字标准中无明确规定的，优先选择产量比重较高的生产区域和主栽品种的代表性样品。</w:t>
      </w:r>
    </w:p>
    <w:p w14:paraId="466A58A1">
      <w:pPr>
        <w:pStyle w:val="110"/>
        <w:spacing w:before="0" w:beforeLines="0" w:after="0" w:afterLines="0"/>
        <w:rPr>
          <w:rFonts w:ascii="宋体" w:hAnsi="宋体" w:eastAsia="宋体"/>
        </w:rPr>
      </w:pPr>
      <w:r>
        <w:rPr>
          <w:rFonts w:hint="eastAsia" w:ascii="宋体" w:hAnsi="宋体" w:eastAsia="宋体"/>
        </w:rPr>
        <w:t>原料应基本符合相应文字标准中品质特性、等级规格要求，以满足后续遴选及加工的要求。</w:t>
      </w:r>
    </w:p>
    <w:p w14:paraId="78D6EA62">
      <w:pPr>
        <w:pStyle w:val="110"/>
        <w:spacing w:before="0" w:beforeLines="0" w:after="0" w:afterLines="0"/>
        <w:rPr>
          <w:rFonts w:ascii="宋体" w:hAnsi="宋体" w:eastAsia="宋体"/>
        </w:rPr>
      </w:pPr>
      <w:r>
        <w:rPr>
          <w:rFonts w:hint="eastAsia" w:ascii="宋体" w:hAnsi="宋体" w:eastAsia="宋体"/>
        </w:rPr>
        <w:t>原料应足量采集，保证后续遴选结果的有效性。</w:t>
      </w:r>
    </w:p>
    <w:p w14:paraId="67EA9FE5">
      <w:pPr>
        <w:pStyle w:val="110"/>
        <w:spacing w:before="0" w:beforeLines="0" w:after="0" w:afterLines="0"/>
        <w:rPr>
          <w:rFonts w:ascii="宋体" w:hAnsi="宋体" w:eastAsia="宋体"/>
        </w:rPr>
      </w:pPr>
      <w:r>
        <w:rPr>
          <w:rFonts w:hint="eastAsia" w:ascii="宋体" w:hAnsi="宋体" w:eastAsia="宋体"/>
        </w:rPr>
        <w:t>原料采集后装载、运输、贮存的环境条件需满足文字技术标准规定，防止环境对原料产生污染。根据不同产品存放要求放置于相应的仓库、冷库或冷柜中。</w:t>
      </w:r>
    </w:p>
    <w:p w14:paraId="2F04FC6B">
      <w:pPr>
        <w:pStyle w:val="109"/>
        <w:spacing w:before="312" w:after="312"/>
      </w:pPr>
      <w:bookmarkStart w:id="39" w:name="_Toc15622"/>
      <w:r>
        <w:rPr>
          <w:rFonts w:hint="eastAsia"/>
        </w:rPr>
        <w:t>加工制备</w:t>
      </w:r>
      <w:bookmarkEnd w:id="39"/>
    </w:p>
    <w:p w14:paraId="6D5461BF">
      <w:pPr>
        <w:pStyle w:val="110"/>
        <w:spacing w:before="156" w:after="156"/>
      </w:pPr>
      <w:r>
        <w:rPr>
          <w:rFonts w:hint="eastAsia"/>
        </w:rPr>
        <w:t>遴选</w:t>
      </w:r>
    </w:p>
    <w:p w14:paraId="5936C429">
      <w:pPr>
        <w:pStyle w:val="70"/>
        <w:spacing w:before="0" w:beforeLines="0" w:after="0" w:afterLines="0"/>
        <w:rPr>
          <w:rFonts w:ascii="宋体" w:hAnsi="宋体" w:eastAsia="宋体"/>
        </w:rPr>
      </w:pPr>
      <w:r>
        <w:rPr>
          <w:rFonts w:hint="eastAsia" w:ascii="宋体" w:hAnsi="宋体" w:eastAsia="宋体"/>
        </w:rPr>
        <w:t>将采集原料依据研制目标的特性值进行符合性遴选，用于后续制备。</w:t>
      </w:r>
    </w:p>
    <w:p w14:paraId="251048C4">
      <w:pPr>
        <w:pStyle w:val="70"/>
        <w:spacing w:before="0" w:beforeLines="0" w:after="0" w:afterLines="0"/>
        <w:rPr>
          <w:rFonts w:ascii="宋体" w:hAnsi="宋体" w:eastAsia="宋体"/>
        </w:rPr>
      </w:pPr>
      <w:r>
        <w:rPr>
          <w:rFonts w:hint="eastAsia" w:ascii="宋体" w:hAnsi="宋体" w:eastAsia="宋体"/>
        </w:rPr>
        <w:t>遴选出的原料数量不应少于研制目标数量的</w:t>
      </w:r>
      <w:r>
        <w:rPr>
          <w:rFonts w:ascii="Times New Roman" w:eastAsia="宋体"/>
        </w:rPr>
        <w:t>1.2</w:t>
      </w:r>
      <w:r>
        <w:rPr>
          <w:rFonts w:hint="eastAsia" w:ascii="宋体" w:hAnsi="宋体" w:eastAsia="宋体"/>
        </w:rPr>
        <w:t>倍，并充分考虑均匀性、稳定性评估及定值过程中所需的样品数量。</w:t>
      </w:r>
    </w:p>
    <w:p w14:paraId="7CC441F2">
      <w:pPr>
        <w:pStyle w:val="70"/>
        <w:spacing w:before="0" w:beforeLines="0" w:after="0" w:afterLines="0"/>
        <w:rPr>
          <w:rFonts w:ascii="宋体" w:hAnsi="宋体" w:eastAsia="宋体"/>
        </w:rPr>
      </w:pPr>
      <w:r>
        <w:rPr>
          <w:rFonts w:hint="eastAsia" w:ascii="宋体" w:hAnsi="宋体" w:eastAsia="宋体"/>
        </w:rPr>
        <w:t>高值或感官评价用实物标样的遴选应由</w:t>
      </w:r>
      <w:r>
        <w:rPr>
          <w:rFonts w:hint="eastAsia" w:ascii="Times New Roman" w:eastAsia="宋体"/>
        </w:rPr>
        <w:t>不少于2名</w:t>
      </w:r>
      <w:r>
        <w:rPr>
          <w:rFonts w:hint="eastAsia" w:ascii="宋体" w:hAnsi="宋体" w:eastAsia="宋体"/>
        </w:rPr>
        <w:t>相关领域经验丰富的专业人员完成。</w:t>
      </w:r>
    </w:p>
    <w:p w14:paraId="1022CA57">
      <w:pPr>
        <w:pStyle w:val="110"/>
        <w:spacing w:before="156" w:after="156"/>
      </w:pPr>
      <w:r>
        <w:rPr>
          <w:rFonts w:hint="eastAsia"/>
        </w:rPr>
        <w:t>加工</w:t>
      </w:r>
    </w:p>
    <w:p w14:paraId="21B934F6">
      <w:pPr>
        <w:pStyle w:val="70"/>
        <w:spacing w:before="0" w:beforeLines="0" w:after="0" w:afterLines="0"/>
        <w:rPr>
          <w:rFonts w:ascii="宋体" w:hAnsi="宋体" w:eastAsia="宋体"/>
        </w:rPr>
      </w:pPr>
      <w:r>
        <w:rPr>
          <w:rFonts w:hint="eastAsia" w:ascii="宋体" w:hAnsi="宋体" w:eastAsia="宋体"/>
        </w:rPr>
        <w:t>原料遴选完成后，应进行必要加工，确保实物标样具有满足预期用途的均匀性和稳定性。实物标样加工应采用符合其特性的具体程序。对高值农产品，可先通过参考小样进行均匀性、稳定性预研和评估。</w:t>
      </w:r>
    </w:p>
    <w:p w14:paraId="59319489">
      <w:pPr>
        <w:pStyle w:val="70"/>
        <w:spacing w:before="0" w:beforeLines="0" w:after="0" w:afterLines="0"/>
        <w:rPr>
          <w:rFonts w:ascii="宋体" w:hAnsi="宋体" w:eastAsia="宋体"/>
        </w:rPr>
      </w:pPr>
      <w:r>
        <w:rPr>
          <w:rFonts w:hint="eastAsia" w:ascii="宋体" w:hAnsi="宋体" w:eastAsia="宋体"/>
        </w:rPr>
        <w:t>样照类实物标样研制关键步骤包括但不限于，已遴选原料的图像获取、筛选、印刷、制作等过程。图像印刷应清晰、真实反映原图信息；图像制作可采用相纸照片或电子照片等形式呈现。</w:t>
      </w:r>
    </w:p>
    <w:p w14:paraId="5E1C3D6F">
      <w:pPr>
        <w:pStyle w:val="70"/>
        <w:spacing w:before="0" w:beforeLines="0" w:after="0" w:afterLines="0"/>
        <w:rPr>
          <w:rFonts w:ascii="宋体" w:hAnsi="宋体" w:eastAsia="宋体"/>
        </w:rPr>
      </w:pPr>
      <w:r>
        <w:rPr>
          <w:rFonts w:hint="eastAsia" w:ascii="宋体" w:hAnsi="宋体" w:eastAsia="宋体"/>
        </w:rPr>
        <w:t>实体类实物标样研制关键步骤包括但不限于，已遴选原料的筛选、拼配、勾兑、调制、配制、脱水、稳定剂添加等过程。其中针对均匀性较差的样本应考虑筛选、拼配、勾兑、调制、配制等方式；对于稳定性较差的样本应考虑脱水、稳定剂添加等方式。</w:t>
      </w:r>
    </w:p>
    <w:p w14:paraId="7C6DBA37">
      <w:pPr>
        <w:pStyle w:val="70"/>
        <w:spacing w:before="0" w:beforeLines="0" w:after="0" w:afterLines="0"/>
        <w:rPr>
          <w:rFonts w:ascii="宋体" w:hAnsi="宋体" w:eastAsia="宋体"/>
        </w:rPr>
      </w:pPr>
      <w:r>
        <w:rPr>
          <w:rFonts w:hint="eastAsia" w:ascii="宋体" w:hAnsi="宋体" w:eastAsia="宋体"/>
        </w:rPr>
        <w:t>其它类型的实物标样的加工应在行业内已形成共识</w:t>
      </w:r>
      <w:r>
        <w:rPr>
          <w:rFonts w:hint="eastAsia" w:ascii="宋体" w:hAnsi="宋体" w:eastAsia="宋体" w:cs="宋体"/>
          <w:bCs/>
          <w:szCs w:val="21"/>
          <w:u w:val="none"/>
        </w:rPr>
        <w:t>的技术框架下</w:t>
      </w:r>
      <w:r>
        <w:rPr>
          <w:rFonts w:hint="eastAsia" w:ascii="宋体" w:hAnsi="宋体" w:eastAsia="宋体"/>
        </w:rPr>
        <w:t>或在行业专家的指导下制定。</w:t>
      </w:r>
    </w:p>
    <w:p w14:paraId="188DC998">
      <w:pPr>
        <w:pStyle w:val="109"/>
        <w:spacing w:before="312" w:after="312"/>
      </w:pPr>
      <w:bookmarkStart w:id="40" w:name="_Toc31250"/>
      <w:r>
        <w:rPr>
          <w:rFonts w:hint="eastAsia"/>
        </w:rPr>
        <w:t>分装及储存</w:t>
      </w:r>
      <w:bookmarkEnd w:id="40"/>
    </w:p>
    <w:p w14:paraId="25BF2E45">
      <w:pPr>
        <w:pStyle w:val="61"/>
        <w:ind w:firstLine="420"/>
      </w:pPr>
      <w:r>
        <w:rPr>
          <w:rFonts w:hint="eastAsia"/>
        </w:rPr>
        <w:t>包装量宜根据测量的取样量和样品稳定时间确定，也可根据用户的实际需求确定，并应贴有实物标样标签。对于高值实物标样的包装量应至少满足一次测量所需量。</w:t>
      </w:r>
    </w:p>
    <w:p w14:paraId="325EDC91">
      <w:pPr>
        <w:pStyle w:val="110"/>
        <w:spacing w:before="156" w:after="156"/>
      </w:pPr>
      <w:r>
        <w:rPr>
          <w:rFonts w:hint="eastAsia"/>
        </w:rPr>
        <w:t>容器选择</w:t>
      </w:r>
    </w:p>
    <w:p w14:paraId="066A02CB">
      <w:pPr>
        <w:pStyle w:val="70"/>
        <w:spacing w:before="0" w:beforeLines="0" w:after="0" w:afterLines="0"/>
        <w:rPr>
          <w:rFonts w:ascii="宋体" w:hAnsi="宋体" w:eastAsia="宋体"/>
        </w:rPr>
      </w:pPr>
      <w:r>
        <w:rPr>
          <w:rFonts w:hint="eastAsia" w:ascii="宋体" w:hAnsi="宋体" w:eastAsia="宋体"/>
        </w:rPr>
        <w:t>应根据实物标样的预期用途、保存期限及化学物理特性，选择适当的独立包装单元容器。</w:t>
      </w:r>
    </w:p>
    <w:p w14:paraId="4FF40C1E">
      <w:pPr>
        <w:pStyle w:val="70"/>
        <w:spacing w:before="0" w:beforeLines="0" w:after="0" w:afterLines="0"/>
        <w:rPr>
          <w:rFonts w:ascii="宋体" w:hAnsi="宋体" w:eastAsia="宋体"/>
        </w:rPr>
      </w:pPr>
      <w:r>
        <w:rPr>
          <w:rFonts w:hint="eastAsia" w:ascii="宋体" w:hAnsi="宋体" w:eastAsia="宋体"/>
        </w:rPr>
        <w:t>包装单元容器的材质不应对实物标样的特性值产生影响。</w:t>
      </w:r>
    </w:p>
    <w:p w14:paraId="43D624A0">
      <w:pPr>
        <w:pStyle w:val="70"/>
        <w:spacing w:before="0" w:beforeLines="0" w:after="0" w:afterLines="0"/>
        <w:rPr>
          <w:rFonts w:ascii="宋体" w:hAnsi="宋体" w:eastAsia="宋体"/>
        </w:rPr>
      </w:pPr>
      <w:r>
        <w:rPr>
          <w:rFonts w:hint="eastAsia" w:ascii="宋体" w:hAnsi="宋体" w:eastAsia="宋体"/>
        </w:rPr>
        <w:t>对特殊实物标样，分装前宜通过前期试验甄别合适的容器，以验证其材质满足</w:t>
      </w:r>
      <w:r>
        <w:rPr>
          <w:rFonts w:ascii="Times New Roman" w:hAnsi="Times New Roman" w:eastAsia="宋体"/>
        </w:rPr>
        <w:t>8.1.2</w:t>
      </w:r>
      <w:r>
        <w:rPr>
          <w:rFonts w:hint="eastAsia" w:ascii="宋体" w:hAnsi="宋体" w:eastAsia="宋体"/>
        </w:rPr>
        <w:t>的要求。</w:t>
      </w:r>
    </w:p>
    <w:p w14:paraId="0671E13B">
      <w:pPr>
        <w:pStyle w:val="70"/>
        <w:spacing w:before="0" w:beforeLines="0" w:after="0" w:afterLines="0"/>
        <w:rPr>
          <w:rFonts w:ascii="宋体" w:hAnsi="宋体" w:eastAsia="宋体"/>
        </w:rPr>
      </w:pPr>
      <w:r>
        <w:rPr>
          <w:rFonts w:hint="eastAsia" w:ascii="宋体" w:hAnsi="宋体" w:eastAsia="宋体"/>
        </w:rPr>
        <w:t>包装单元容器的密封性应满足标样在规定的储存、使用和运输条件下的要求。</w:t>
      </w:r>
    </w:p>
    <w:p w14:paraId="71A07296">
      <w:pPr>
        <w:pStyle w:val="70"/>
        <w:spacing w:before="0" w:beforeLines="0" w:after="0" w:afterLines="0"/>
        <w:rPr>
          <w:rFonts w:ascii="宋体" w:hAnsi="宋体" w:eastAsia="宋体"/>
        </w:rPr>
      </w:pPr>
      <w:r>
        <w:rPr>
          <w:rFonts w:hint="eastAsia" w:ascii="宋体" w:hAnsi="宋体" w:eastAsia="宋体"/>
        </w:rPr>
        <w:t>针对一次性使用的包装单元容器，宜采取防篡改密封措施。</w:t>
      </w:r>
    </w:p>
    <w:p w14:paraId="3358CFDE">
      <w:pPr>
        <w:pStyle w:val="110"/>
        <w:spacing w:before="156" w:after="156"/>
      </w:pPr>
      <w:r>
        <w:rPr>
          <w:rFonts w:hint="eastAsia"/>
        </w:rPr>
        <w:t>技术要求</w:t>
      </w:r>
    </w:p>
    <w:p w14:paraId="712B365C">
      <w:pPr>
        <w:pStyle w:val="70"/>
        <w:spacing w:before="0" w:beforeLines="0" w:after="0" w:afterLines="0"/>
        <w:rPr>
          <w:rFonts w:ascii="宋体" w:hAnsi="宋体" w:eastAsia="宋体"/>
        </w:rPr>
      </w:pPr>
      <w:r>
        <w:rPr>
          <w:rFonts w:hint="eastAsia" w:ascii="宋体" w:hAnsi="宋体" w:eastAsia="宋体"/>
        </w:rPr>
        <w:t>分装时，应充分混匀并尽快完成，舍弃最初和/或最后部分样品，以确保其均匀性。</w:t>
      </w:r>
    </w:p>
    <w:p w14:paraId="21D168E6">
      <w:pPr>
        <w:pStyle w:val="70"/>
        <w:spacing w:before="0" w:beforeLines="0" w:after="0" w:afterLines="0"/>
        <w:rPr>
          <w:rFonts w:ascii="宋体" w:hAnsi="宋体" w:eastAsia="宋体"/>
        </w:rPr>
      </w:pPr>
      <w:r>
        <w:rPr>
          <w:rFonts w:hint="eastAsia" w:ascii="宋体" w:hAnsi="宋体" w:eastAsia="宋体"/>
        </w:rPr>
        <w:t>对于挥发性实物标样可通过防止样品挥发和在能够保持准确的前提下尽快完成分装，以减小这种影响。</w:t>
      </w:r>
    </w:p>
    <w:p w14:paraId="79B21498">
      <w:pPr>
        <w:pStyle w:val="70"/>
        <w:spacing w:before="0" w:beforeLines="0" w:after="0" w:afterLines="0"/>
        <w:rPr>
          <w:rFonts w:ascii="宋体" w:hAnsi="宋体" w:eastAsia="宋体"/>
        </w:rPr>
      </w:pPr>
      <w:r>
        <w:rPr>
          <w:rFonts w:hint="eastAsia" w:ascii="宋体" w:hAnsi="宋体" w:eastAsia="宋体"/>
        </w:rPr>
        <w:t>对于液态基体实物标样在分装过程中都应连续搅拌。如有颗粒物的存在可能会影响待测特性，分装前宜过滤。</w:t>
      </w:r>
    </w:p>
    <w:p w14:paraId="3FCD11A4">
      <w:pPr>
        <w:pStyle w:val="70"/>
        <w:spacing w:before="0" w:beforeLines="0" w:after="0" w:afterLines="0"/>
        <w:rPr>
          <w:rFonts w:ascii="宋体" w:hAnsi="宋体" w:eastAsia="宋体"/>
        </w:rPr>
      </w:pPr>
      <w:r>
        <w:rPr>
          <w:rFonts w:hint="eastAsia" w:ascii="宋体" w:hAnsi="宋体" w:eastAsia="宋体"/>
        </w:rPr>
        <w:t>对于固态颗粒物基体实物标样在分装过程中应确保较细的颗粒不会分层。</w:t>
      </w:r>
    </w:p>
    <w:p w14:paraId="392A9553">
      <w:pPr>
        <w:pStyle w:val="70"/>
        <w:spacing w:before="0" w:beforeLines="0" w:after="0" w:afterLines="0"/>
        <w:rPr>
          <w:rFonts w:ascii="宋体" w:hAnsi="宋体" w:eastAsia="宋体"/>
        </w:rPr>
      </w:pPr>
      <w:r>
        <w:rPr>
          <w:rFonts w:hint="eastAsia" w:ascii="宋体" w:hAnsi="宋体" w:eastAsia="宋体"/>
        </w:rPr>
        <w:t>对于含有高脂肪基体可能有分层趋势的实物标样。如果产生这种现象宜在不断搅拌下分装和/或在基体中加入添加剂以减慢分相。</w:t>
      </w:r>
    </w:p>
    <w:p w14:paraId="31AF5557">
      <w:pPr>
        <w:pStyle w:val="70"/>
        <w:spacing w:before="0" w:beforeLines="0" w:after="0" w:afterLines="0"/>
        <w:rPr>
          <w:rFonts w:ascii="宋体" w:hAnsi="宋体" w:eastAsia="宋体"/>
        </w:rPr>
      </w:pPr>
      <w:r>
        <w:rPr>
          <w:rFonts w:hint="eastAsia" w:ascii="宋体" w:hAnsi="宋体" w:eastAsia="宋体"/>
        </w:rPr>
        <w:t>进行包装操作时，应考虑环境条件（温度、相对湿度、洁净度和</w:t>
      </w:r>
      <w:r>
        <w:rPr>
          <w:rFonts w:hint="eastAsia" w:ascii="宋体" w:hAnsi="宋体" w:eastAsia="宋体" w:cs="宋体"/>
          <w:bCs/>
          <w:szCs w:val="21"/>
        </w:rPr>
        <w:t>光照</w:t>
      </w:r>
      <w:r>
        <w:rPr>
          <w:rFonts w:hint="eastAsia" w:ascii="宋体" w:hAnsi="宋体" w:eastAsia="宋体"/>
        </w:rPr>
        <w:t>等）对实物标样的影响。</w:t>
      </w:r>
    </w:p>
    <w:p w14:paraId="2E69A952">
      <w:pPr>
        <w:pStyle w:val="70"/>
        <w:spacing w:before="0" w:beforeLines="0" w:after="0" w:afterLines="0"/>
        <w:rPr>
          <w:rFonts w:ascii="宋体" w:hAnsi="宋体" w:eastAsia="宋体"/>
        </w:rPr>
      </w:pPr>
      <w:r>
        <w:rPr>
          <w:rFonts w:hint="eastAsia" w:ascii="宋体" w:hAnsi="宋体" w:eastAsia="宋体"/>
        </w:rPr>
        <w:t>当需要密封时应采用密封包装技术，如塑封、蜡封、真空包装等。</w:t>
      </w:r>
    </w:p>
    <w:p w14:paraId="269189E7">
      <w:pPr>
        <w:pStyle w:val="70"/>
        <w:spacing w:before="0" w:beforeLines="0" w:after="0" w:afterLines="0"/>
        <w:rPr>
          <w:rFonts w:ascii="宋体" w:hAnsi="宋体" w:eastAsia="宋体"/>
        </w:rPr>
      </w:pPr>
      <w:r>
        <w:rPr>
          <w:rFonts w:hint="eastAsia" w:ascii="宋体" w:hAnsi="宋体" w:eastAsia="宋体"/>
        </w:rPr>
        <w:t>特殊实物标样包装应根据其特性采取相应特殊技术措施，如惰性气体保护、避光、低温操作等。</w:t>
      </w:r>
    </w:p>
    <w:p w14:paraId="386437F6">
      <w:pPr>
        <w:pStyle w:val="110"/>
        <w:spacing w:before="156" w:after="156"/>
      </w:pPr>
      <w:r>
        <w:rPr>
          <w:rFonts w:hint="eastAsia"/>
        </w:rPr>
        <w:t>储存</w:t>
      </w:r>
    </w:p>
    <w:p w14:paraId="77C3B86C">
      <w:pPr>
        <w:pStyle w:val="110"/>
        <w:numPr>
          <w:ilvl w:val="3"/>
          <w:numId w:val="33"/>
        </w:numPr>
        <w:spacing w:before="0" w:beforeLines="0" w:after="0" w:afterLines="0"/>
        <w:rPr>
          <w:rFonts w:ascii="宋体" w:hAnsi="宋体" w:eastAsia="宋体"/>
        </w:rPr>
      </w:pPr>
      <w:r>
        <w:rPr>
          <w:rFonts w:hint="eastAsia" w:ascii="宋体" w:hAnsi="宋体" w:eastAsia="宋体"/>
        </w:rPr>
        <w:t>实物标样的储存</w:t>
      </w:r>
      <w:r>
        <w:rPr>
          <w:rFonts w:hint="eastAsia" w:ascii="宋体" w:hAnsi="宋体" w:eastAsia="宋体" w:cs="宋体"/>
          <w:bCs/>
          <w:szCs w:val="21"/>
        </w:rPr>
        <w:t>根据样品的稳定性确定</w:t>
      </w:r>
      <w:r>
        <w:rPr>
          <w:rFonts w:hint="eastAsia" w:ascii="宋体" w:hAnsi="宋体" w:eastAsia="宋体"/>
        </w:rPr>
        <w:t>储存条件和环境要求，一般储存在干燥、阴凉、洁净的环境中；某些有特殊储存要求的，应有特殊储存措施。</w:t>
      </w:r>
    </w:p>
    <w:p w14:paraId="2A870231">
      <w:pPr>
        <w:pStyle w:val="110"/>
        <w:numPr>
          <w:ilvl w:val="3"/>
          <w:numId w:val="33"/>
        </w:numPr>
        <w:spacing w:before="0" w:beforeLines="0" w:after="0" w:afterLines="0"/>
      </w:pPr>
      <w:r>
        <w:rPr>
          <w:rFonts w:hint="eastAsia" w:ascii="宋体" w:hAnsi="宋体" w:eastAsia="宋体"/>
        </w:rPr>
        <w:t>应定期监测并确保合适的储存条件，如对温度进行日常检查，并进行记录，一旦失控，及时采取措施，转移储存地点并进行后续适用性评估，同时</w:t>
      </w:r>
      <w:r>
        <w:rPr>
          <w:rFonts w:hint="eastAsia" w:ascii="宋体" w:hAnsi="宋体" w:eastAsia="宋体" w:cs="宋体"/>
          <w:bCs/>
          <w:szCs w:val="21"/>
        </w:rPr>
        <w:t>评估失控条件是否对样品造成影响</w:t>
      </w:r>
      <w:r>
        <w:rPr>
          <w:rFonts w:hint="eastAsia" w:ascii="宋体" w:hAnsi="宋体" w:eastAsia="宋体"/>
        </w:rPr>
        <w:t>。</w:t>
      </w:r>
    </w:p>
    <w:p w14:paraId="186BEE7D">
      <w:pPr>
        <w:pStyle w:val="109"/>
        <w:numPr>
          <w:ilvl w:val="1"/>
          <w:numId w:val="33"/>
        </w:numPr>
        <w:spacing w:before="312" w:after="312"/>
      </w:pPr>
      <w:bookmarkStart w:id="41" w:name="_Toc5522"/>
      <w:r>
        <w:rPr>
          <w:rFonts w:hint="eastAsia"/>
        </w:rPr>
        <w:t>均匀性评估</w:t>
      </w:r>
      <w:bookmarkEnd w:id="41"/>
    </w:p>
    <w:p w14:paraId="11585C7D">
      <w:pPr>
        <w:pStyle w:val="61"/>
        <w:ind w:firstLine="420"/>
      </w:pPr>
      <w:r>
        <w:rPr>
          <w:rFonts w:hint="eastAsia"/>
        </w:rPr>
        <w:t>均匀性应考虑单元间均匀性和单元内均匀性。单元间均匀性反映样品独立单元间测量结果的差异。单元内均匀性可以确定能够代表整个独立单元特性值的最小取样量。</w:t>
      </w:r>
    </w:p>
    <w:p w14:paraId="05E0DD96">
      <w:pPr>
        <w:pStyle w:val="110"/>
        <w:numPr>
          <w:ilvl w:val="2"/>
          <w:numId w:val="33"/>
        </w:numPr>
        <w:spacing w:before="156" w:after="156"/>
      </w:pPr>
      <w:r>
        <w:rPr>
          <w:rFonts w:hint="eastAsia"/>
        </w:rPr>
        <w:t>抽样数量</w:t>
      </w:r>
    </w:p>
    <w:p w14:paraId="1EA1837C">
      <w:pPr>
        <w:pStyle w:val="61"/>
        <w:ind w:firstLine="420"/>
      </w:pPr>
      <w:r>
        <w:rPr>
          <w:rFonts w:hint="eastAsia"/>
        </w:rPr>
        <w:t>均匀性评价选择的单元数应能代表整个批次，样品均匀性评估推荐的最小单元数为：</w:t>
      </w:r>
    </w:p>
    <w:p w14:paraId="34FB5660">
      <w:pPr>
        <w:pStyle w:val="118"/>
        <w:tabs>
          <w:tab w:val="center" w:pos="4095"/>
          <w:tab w:val="right" w:leader="middleDot" w:pos="8190"/>
          <w:tab w:val="clear" w:pos="4678"/>
          <w:tab w:val="clear" w:pos="9356"/>
        </w:tabs>
        <w:jc w:val="center"/>
        <w:rPr>
          <w:rFonts w:ascii="Times New Roman" w:hAnsi="Times New Roman"/>
        </w:rPr>
      </w:pPr>
      <w:r>
        <w:rPr>
          <w:rFonts w:ascii="Times New Roman" w:hAnsi="Times New Roman"/>
        </w:rPr>
        <w:tab/>
      </w:r>
      <w:r>
        <w:rPr>
          <w:rFonts w:ascii="Times New Roman" w:hAnsi="Times New Roman"/>
          <w:position w:val="-14"/>
        </w:rPr>
        <w:object>
          <v:shape id="_x0000_i1025" o:spt="75" type="#_x0000_t75" style="height:18.95pt;width:110.85pt;" o:ole="t" filled="f" o:preferrelative="t" stroked="f" coordsize="21600,21600">
            <v:path/>
            <v:fill on="f" focussize="0,0"/>
            <v:stroke on="f" joinstyle="miter"/>
            <v:imagedata r:id="rId16" o:title=""/>
            <o:lock v:ext="edit" aspectratio="t"/>
            <w10:wrap type="none"/>
            <w10:anchorlock/>
          </v:shape>
          <o:OLEObject Type="Embed" ProgID="Equation.KSEE3" ShapeID="_x0000_i1025" DrawAspect="Content" ObjectID="_1468075725" r:id="rId15">
            <o:LockedField>false</o:LockedField>
          </o:OLEObject>
        </w:object>
      </w:r>
      <w:r>
        <w:rPr>
          <w:rFonts w:ascii="Times New Roman" w:hAnsi="Times New Roman"/>
        </w:rPr>
        <w:tab/>
      </w:r>
      <w:r>
        <w:rPr>
          <w:rFonts w:ascii="Times New Roman" w:hAnsi="Times New Roman"/>
        </w:rPr>
        <w:t>（</w:t>
      </w:r>
      <w:r>
        <w:rPr>
          <w:rFonts w:hint="eastAsia" w:ascii="Times New Roman" w:hAnsi="Times New Roman"/>
        </w:rPr>
        <w:t>1</w:t>
      </w:r>
      <w:r>
        <w:rPr>
          <w:rFonts w:ascii="Times New Roman" w:hAnsi="Times New Roman"/>
        </w:rPr>
        <w:t>）</w:t>
      </w:r>
    </w:p>
    <w:p w14:paraId="22672156">
      <w:pPr>
        <w:pStyle w:val="118"/>
        <w:tabs>
          <w:tab w:val="center" w:pos="4095"/>
          <w:tab w:val="right" w:leader="middleDot" w:pos="8190"/>
          <w:tab w:val="clear" w:pos="4678"/>
          <w:tab w:val="clear" w:pos="9356"/>
        </w:tabs>
        <w:jc w:val="center"/>
        <w:rPr>
          <w:rFonts w:ascii="Times New Roman" w:hAnsi="Times New Roman"/>
        </w:rPr>
      </w:pPr>
      <w:r>
        <w:rPr>
          <w:rFonts w:ascii="Times New Roman" w:hAnsi="Times New Roman"/>
        </w:rPr>
        <w:tab/>
      </w:r>
      <w:r>
        <w:rPr>
          <w:rFonts w:ascii="Times New Roman" w:hAnsi="Times New Roman"/>
          <w:position w:val="-16"/>
        </w:rPr>
        <w:object>
          <v:shape id="_x0000_i1026" o:spt="75" type="#_x0000_t75" style="height:21.8pt;width:115.1pt;" o:ole="t" filled="f" o:preferrelative="t" stroked="f" coordsize="21600,21600">
            <v:path/>
            <v:fill on="f" focussize="0,0"/>
            <v:stroke on="f" joinstyle="miter"/>
            <v:imagedata r:id="rId18" o:title=""/>
            <o:lock v:ext="edit" aspectratio="t"/>
            <w10:wrap type="none"/>
            <w10:anchorlock/>
          </v:shape>
          <o:OLEObject Type="Embed" ProgID="Equation.KSEE3" ShapeID="_x0000_i1026" DrawAspect="Content" ObjectID="_1468075726" r:id="rId17">
            <o:LockedField>false</o:LockedField>
          </o:OLEObject>
        </w:object>
      </w:r>
      <w:r>
        <w:rPr>
          <w:rFonts w:ascii="Times New Roman" w:hAnsi="Times New Roman"/>
        </w:rPr>
        <w:tab/>
      </w:r>
      <w:r>
        <w:rPr>
          <w:rFonts w:ascii="Times New Roman" w:hAnsi="Times New Roman"/>
        </w:rPr>
        <w:t>（2）</w:t>
      </w:r>
    </w:p>
    <w:p w14:paraId="6976A04E">
      <w:pPr>
        <w:pStyle w:val="60"/>
        <w:ind w:firstLine="420"/>
      </w:pPr>
      <w:r>
        <w:rPr>
          <w:rFonts w:hint="eastAsia"/>
        </w:rPr>
        <w:t>式中：</w:t>
      </w:r>
    </w:p>
    <w:p w14:paraId="06F0B5CB">
      <w:pPr>
        <w:pStyle w:val="61"/>
        <w:ind w:firstLine="420"/>
        <w:rPr>
          <w:rFonts w:ascii="Cambria Math" w:hAnsi="Cambria Math" w:cs="Cambria Math"/>
          <w:szCs w:val="21"/>
        </w:rPr>
      </w:pPr>
      <w:r>
        <w:rPr>
          <w:rFonts w:ascii="Times New Roman"/>
          <w:i/>
          <w:iCs/>
          <w:szCs w:val="21"/>
        </w:rPr>
        <w:t>N</w:t>
      </w:r>
      <w:r>
        <w:rPr>
          <w:rFonts w:ascii="Times New Roman"/>
          <w:i/>
          <w:iCs/>
          <w:szCs w:val="21"/>
          <w:vertAlign w:val="subscript"/>
        </w:rPr>
        <w:t>prod</w:t>
      </w:r>
      <w:r>
        <w:rPr>
          <w:rFonts w:ascii="Times New Roman"/>
          <w:szCs w:val="21"/>
          <w:vertAlign w:val="subscript"/>
        </w:rPr>
        <w:t xml:space="preserve"> </w:t>
      </w:r>
      <w:r>
        <w:rPr>
          <w:rFonts w:ascii="Times New Roman"/>
          <w:szCs w:val="21"/>
          <w:vertAlign w:val="superscript"/>
        </w:rPr>
        <w:t xml:space="preserve"> </w:t>
      </w:r>
      <w:r>
        <w:rPr>
          <w:rFonts w:ascii="Cambria Math" w:hAnsi="Cambria Math" w:cs="Cambria Math"/>
          <w:szCs w:val="21"/>
        </w:rPr>
        <w:t>——整个批次的样品量；</w:t>
      </w:r>
    </w:p>
    <w:p w14:paraId="5B7ADDF9">
      <w:pPr>
        <w:pStyle w:val="61"/>
        <w:ind w:firstLine="420"/>
        <w:rPr>
          <w:rFonts w:ascii="Times New Roman"/>
          <w:szCs w:val="21"/>
        </w:rPr>
      </w:pPr>
      <w:r>
        <w:rPr>
          <w:rFonts w:ascii="Times New Roman"/>
          <w:szCs w:val="21"/>
        </w:rPr>
        <w:t>(1) ——</w:t>
      </w:r>
      <w:r>
        <w:rPr>
          <w:rFonts w:ascii="Times New Roman"/>
          <w:i/>
          <w:iCs/>
          <w:szCs w:val="21"/>
        </w:rPr>
        <w:t>N</w:t>
      </w:r>
      <w:r>
        <w:rPr>
          <w:rFonts w:ascii="Times New Roman"/>
          <w:i/>
          <w:iCs/>
          <w:szCs w:val="21"/>
          <w:vertAlign w:val="subscript"/>
        </w:rPr>
        <w:t>prod</w:t>
      </w:r>
      <w:r>
        <w:rPr>
          <w:rFonts w:hint="eastAsia" w:ascii="Times New Roman"/>
          <w:i/>
          <w:iCs/>
          <w:szCs w:val="21"/>
          <w:vertAlign w:val="subscript"/>
        </w:rPr>
        <w:t xml:space="preserve"> </w:t>
      </w:r>
      <w:r>
        <w:rPr>
          <w:rFonts w:ascii="Times New Roman" w:eastAsia="微软雅黑"/>
          <w:szCs w:val="21"/>
        </w:rPr>
        <w:t>&lt;</w:t>
      </w:r>
      <w:r>
        <w:rPr>
          <w:rFonts w:ascii="Times New Roman"/>
          <w:szCs w:val="21"/>
        </w:rPr>
        <w:t>100</w:t>
      </w:r>
      <w:r>
        <w:rPr>
          <w:rFonts w:hint="eastAsia" w:ascii="Times New Roman"/>
          <w:szCs w:val="21"/>
        </w:rPr>
        <w:t>；</w:t>
      </w:r>
    </w:p>
    <w:p w14:paraId="13A28043">
      <w:pPr>
        <w:pStyle w:val="61"/>
        <w:ind w:firstLine="420"/>
        <w:rPr>
          <w:rFonts w:ascii="Times New Roman"/>
        </w:rPr>
      </w:pPr>
      <w:r>
        <w:rPr>
          <w:rFonts w:ascii="Times New Roman"/>
          <w:szCs w:val="21"/>
        </w:rPr>
        <w:t>(2) ——</w:t>
      </w:r>
      <w:r>
        <w:rPr>
          <w:rFonts w:ascii="Times New Roman"/>
          <w:i/>
          <w:iCs/>
          <w:szCs w:val="21"/>
        </w:rPr>
        <w:t>N</w:t>
      </w:r>
      <w:r>
        <w:rPr>
          <w:rFonts w:ascii="Times New Roman"/>
          <w:i/>
          <w:iCs/>
          <w:szCs w:val="21"/>
          <w:vertAlign w:val="subscript"/>
        </w:rPr>
        <w:t>prod</w:t>
      </w:r>
      <w:r>
        <w:rPr>
          <w:rFonts w:hint="eastAsia" w:ascii="Times New Roman"/>
          <w:i/>
          <w:iCs/>
          <w:szCs w:val="21"/>
          <w:vertAlign w:val="subscript"/>
        </w:rPr>
        <w:t xml:space="preserve"> </w:t>
      </w:r>
      <w:r>
        <w:rPr>
          <w:rFonts w:ascii="Times New Roman"/>
          <w:szCs w:val="21"/>
        </w:rPr>
        <w:t>≥100</w:t>
      </w:r>
      <w:r>
        <w:rPr>
          <w:rFonts w:hint="eastAsia" w:ascii="Times New Roman"/>
          <w:szCs w:val="21"/>
        </w:rPr>
        <w:t>。</w:t>
      </w:r>
    </w:p>
    <w:p w14:paraId="60E0418B">
      <w:pPr>
        <w:pStyle w:val="110"/>
        <w:numPr>
          <w:ilvl w:val="2"/>
          <w:numId w:val="33"/>
        </w:numPr>
        <w:spacing w:before="156" w:after="156"/>
      </w:pPr>
      <w:r>
        <w:rPr>
          <w:rFonts w:hint="eastAsia"/>
        </w:rPr>
        <w:t>抽样方法</w:t>
      </w:r>
    </w:p>
    <w:p w14:paraId="5833BF98">
      <w:pPr>
        <w:pStyle w:val="110"/>
        <w:numPr>
          <w:ilvl w:val="3"/>
          <w:numId w:val="33"/>
        </w:numPr>
        <w:spacing w:before="0" w:beforeLines="0" w:after="0" w:afterLines="0"/>
        <w:rPr>
          <w:rFonts w:ascii="Times New Roman" w:eastAsia="宋体"/>
        </w:rPr>
      </w:pPr>
      <w:r>
        <w:rPr>
          <w:rFonts w:ascii="Times New Roman" w:eastAsia="宋体"/>
        </w:rPr>
        <w:t>简单随机抽样</w:t>
      </w:r>
    </w:p>
    <w:p w14:paraId="06FAB838">
      <w:pPr>
        <w:pStyle w:val="61"/>
        <w:ind w:firstLine="420"/>
        <w:rPr>
          <w:rFonts w:ascii="Times New Roman"/>
        </w:rPr>
      </w:pPr>
      <w:r>
        <w:rPr>
          <w:rFonts w:ascii="Times New Roman"/>
        </w:rPr>
        <w:t>对整批标样不经过任何分组、划类、排序，直接按照随机原则抽取样品。通常使用随机数表、抽签或掷骰子等方式确定抽取对象。适用于批量不大、质量均匀的标样。</w:t>
      </w:r>
    </w:p>
    <w:p w14:paraId="79EEBA8A">
      <w:pPr>
        <w:pStyle w:val="110"/>
        <w:numPr>
          <w:ilvl w:val="3"/>
          <w:numId w:val="33"/>
        </w:numPr>
        <w:spacing w:before="0" w:beforeLines="0" w:after="0" w:afterLines="0"/>
        <w:rPr>
          <w:rFonts w:ascii="Times New Roman" w:eastAsia="宋体"/>
        </w:rPr>
      </w:pPr>
      <w:r>
        <w:rPr>
          <w:rFonts w:ascii="Times New Roman" w:eastAsia="宋体"/>
        </w:rPr>
        <w:t>‌系统抽样（等距抽样）</w:t>
      </w:r>
    </w:p>
    <w:p w14:paraId="702006D3">
      <w:pPr>
        <w:pStyle w:val="61"/>
        <w:ind w:firstLine="420"/>
        <w:rPr>
          <w:rFonts w:ascii="Times New Roman"/>
        </w:rPr>
      </w:pPr>
      <w:r>
        <w:rPr>
          <w:rFonts w:ascii="Times New Roman"/>
        </w:rPr>
        <w:t>将整批标样按顺序排列编号，随机确定起始号码，然后按固定间隔机械抽取样品。</w:t>
      </w:r>
    </w:p>
    <w:p w14:paraId="6C1F4FD4">
      <w:pPr>
        <w:pStyle w:val="110"/>
        <w:numPr>
          <w:ilvl w:val="3"/>
          <w:numId w:val="33"/>
        </w:numPr>
        <w:spacing w:before="0" w:beforeLines="0" w:after="0" w:afterLines="0"/>
        <w:rPr>
          <w:rFonts w:ascii="Times New Roman" w:eastAsia="宋体"/>
        </w:rPr>
      </w:pPr>
      <w:r>
        <w:rPr>
          <w:rFonts w:ascii="Times New Roman" w:eastAsia="宋体"/>
        </w:rPr>
        <w:t>‌分层抽样</w:t>
      </w:r>
    </w:p>
    <w:p w14:paraId="18691A15">
      <w:pPr>
        <w:pStyle w:val="61"/>
        <w:ind w:firstLine="420"/>
        <w:rPr>
          <w:rFonts w:ascii="Times New Roman"/>
        </w:rPr>
      </w:pPr>
      <w:r>
        <w:rPr>
          <w:rFonts w:ascii="Times New Roman"/>
        </w:rPr>
        <w:t>将整批标样按主要特征（如生产批次、质量等级、规格型号）分成若干层，使层内质量较为均匀，然后从各层中按比例随机抽取样品。适用于批量较大、质量差异明显的标样。</w:t>
      </w:r>
    </w:p>
    <w:p w14:paraId="627355AC">
      <w:pPr>
        <w:pStyle w:val="110"/>
        <w:numPr>
          <w:ilvl w:val="3"/>
          <w:numId w:val="33"/>
        </w:numPr>
        <w:spacing w:before="0" w:beforeLines="0" w:after="0" w:afterLines="0"/>
        <w:rPr>
          <w:rFonts w:ascii="Times New Roman" w:eastAsia="宋体"/>
        </w:rPr>
      </w:pPr>
      <w:r>
        <w:rPr>
          <w:rFonts w:ascii="Times New Roman" w:eastAsia="宋体"/>
        </w:rPr>
        <w:t>‌整群抽样</w:t>
      </w:r>
    </w:p>
    <w:p w14:paraId="3FB2D1EB">
      <w:pPr>
        <w:pStyle w:val="61"/>
        <w:ind w:firstLine="420"/>
        <w:rPr>
          <w:rFonts w:ascii="Times New Roman"/>
        </w:rPr>
      </w:pPr>
      <w:r>
        <w:rPr>
          <w:rFonts w:ascii="Times New Roman"/>
        </w:rPr>
        <w:t>将标样分为若干群组，随机抽取若干群组后检查其全部内容。适用于群组间差异较小的情况。</w:t>
      </w:r>
    </w:p>
    <w:p w14:paraId="0D9407DD">
      <w:pPr>
        <w:pStyle w:val="110"/>
        <w:numPr>
          <w:ilvl w:val="3"/>
          <w:numId w:val="33"/>
        </w:numPr>
        <w:spacing w:before="0" w:beforeLines="0" w:after="0" w:afterLines="0"/>
        <w:rPr>
          <w:rFonts w:ascii="Times New Roman" w:eastAsia="宋体"/>
        </w:rPr>
      </w:pPr>
      <w:r>
        <w:rPr>
          <w:rFonts w:ascii="Times New Roman" w:eastAsia="宋体"/>
        </w:rPr>
        <w:t>‌分段抽样‌</w:t>
      </w:r>
    </w:p>
    <w:p w14:paraId="2A320153">
      <w:pPr>
        <w:pStyle w:val="61"/>
        <w:ind w:firstLine="420"/>
        <w:rPr>
          <w:rFonts w:ascii="Times New Roman"/>
        </w:rPr>
      </w:pPr>
      <w:r>
        <w:rPr>
          <w:rFonts w:ascii="Times New Roman"/>
        </w:rPr>
        <w:t>先将标样按包装单位分组，随机抽取若干大包装，再从抽中的大包装中随机抽取若干小包装，最后将抽出的小包装合并作为样品。适用于多级包装的标样。</w:t>
      </w:r>
    </w:p>
    <w:p w14:paraId="74A30F29">
      <w:pPr>
        <w:pStyle w:val="110"/>
        <w:numPr>
          <w:ilvl w:val="2"/>
          <w:numId w:val="33"/>
        </w:numPr>
        <w:spacing w:before="156" w:after="156"/>
      </w:pPr>
      <w:r>
        <w:rPr>
          <w:rFonts w:hint="eastAsia"/>
        </w:rPr>
        <w:t>最小取样量</w:t>
      </w:r>
    </w:p>
    <w:p w14:paraId="2E898E95">
      <w:pPr>
        <w:pStyle w:val="70"/>
        <w:numPr>
          <w:ilvl w:val="3"/>
          <w:numId w:val="33"/>
        </w:numPr>
        <w:spacing w:before="0" w:beforeLines="0" w:after="0" w:afterLines="0"/>
        <w:rPr>
          <w:rFonts w:ascii="宋体" w:hAnsi="宋体" w:eastAsia="宋体"/>
        </w:rPr>
      </w:pPr>
      <w:r>
        <w:rPr>
          <w:rFonts w:hint="eastAsia" w:ascii="宋体" w:hAnsi="宋体" w:eastAsia="宋体"/>
        </w:rPr>
        <w:t>最小取样量至少应比实物标样使用的典型取样量大或至少要相等。</w:t>
      </w:r>
    </w:p>
    <w:p w14:paraId="08B62E2E">
      <w:pPr>
        <w:pStyle w:val="70"/>
        <w:numPr>
          <w:ilvl w:val="3"/>
          <w:numId w:val="33"/>
        </w:numPr>
        <w:spacing w:before="0" w:beforeLines="0" w:after="0" w:afterLines="0"/>
        <w:rPr>
          <w:rFonts w:ascii="宋体" w:hAnsi="宋体" w:eastAsia="宋体"/>
        </w:rPr>
      </w:pPr>
      <w:r>
        <w:rPr>
          <w:rFonts w:hint="eastAsia" w:ascii="宋体" w:hAnsi="宋体" w:eastAsia="宋体"/>
        </w:rPr>
        <w:t>实物标样具有多个特性值时，每个特性值的最小取样量可能不同，需要基于实验数据或者经验确定。如仅对代表性被测量开展均匀性评估时，通过分线可以为后续定值及稳定性评估提供基础，以此获取其他特性值均匀性及最少取样量的相关证据。</w:t>
      </w:r>
    </w:p>
    <w:p w14:paraId="37DFE564">
      <w:pPr>
        <w:pStyle w:val="110"/>
        <w:numPr>
          <w:ilvl w:val="2"/>
          <w:numId w:val="33"/>
        </w:numPr>
        <w:spacing w:before="156" w:after="156"/>
      </w:pPr>
      <w:r>
        <w:rPr>
          <w:rFonts w:hint="eastAsia"/>
        </w:rPr>
        <w:t>统计</w:t>
      </w:r>
    </w:p>
    <w:p w14:paraId="236FF27D">
      <w:pPr>
        <w:pStyle w:val="61"/>
        <w:ind w:firstLine="420"/>
        <w:rPr>
          <w:rFonts w:ascii="Times New Roman"/>
          <w:kern w:val="2"/>
          <w:sz w:val="24"/>
          <w:szCs w:val="24"/>
        </w:rPr>
      </w:pPr>
      <w:r>
        <w:rPr>
          <w:rFonts w:hint="eastAsia"/>
        </w:rPr>
        <w:t>通过单因素方差分析计算单元间均匀性研究。按</w:t>
      </w:r>
      <w:r>
        <w:rPr>
          <w:rFonts w:hint="eastAsia"/>
          <w:highlight w:val="none"/>
        </w:rPr>
        <w:t>以下各式计算特性值的</w:t>
      </w:r>
      <w:r>
        <w:rPr>
          <w:rFonts w:hint="eastAsia"/>
        </w:rPr>
        <w:t>统计量：</w:t>
      </w:r>
    </w:p>
    <w:p w14:paraId="18B671FD">
      <w:pPr>
        <w:adjustRightInd/>
        <w:spacing w:line="240" w:lineRule="auto"/>
        <w:ind w:firstLine="420" w:firstLineChars="200"/>
        <w:rPr>
          <w:rFonts w:ascii="Times New Roman" w:hAnsi="Times New Roman"/>
        </w:rPr>
      </w:pPr>
      <w:r>
        <w:rPr>
          <w:rFonts w:ascii="Times New Roman" w:hAnsi="Times New Roman"/>
        </w:rPr>
        <w:t>组间方差：</w:t>
      </w:r>
    </w:p>
    <w:p w14:paraId="2A3FC2D0">
      <w:pPr>
        <w:tabs>
          <w:tab w:val="center" w:pos="4095"/>
          <w:tab w:val="right" w:leader="middleDot" w:pos="8190"/>
        </w:tabs>
        <w:adjustRightInd/>
        <w:spacing w:line="240" w:lineRule="auto"/>
        <w:ind w:firstLine="480" w:firstLineChars="200"/>
        <w:jc w:val="center"/>
        <w:textAlignment w:val="center"/>
        <w:rPr>
          <w:rFonts w:ascii="Times New Roman" w:hAnsi="Times New Roman" w:eastAsia="微软雅黑"/>
          <w:sz w:val="24"/>
          <w:szCs w:val="24"/>
        </w:rPr>
      </w:pPr>
      <w:r>
        <w:rPr>
          <w:rFonts w:hint="eastAsia" w:ascii="Times New Roman" w:hAnsi="Times New Roman"/>
          <w:position w:val="-30"/>
          <w:sz w:val="24"/>
          <w:szCs w:val="24"/>
        </w:rPr>
        <w:tab/>
      </w:r>
      <w:r>
        <w:rPr>
          <w:rFonts w:ascii="Times New Roman" w:hAnsi="Times New Roman"/>
          <w:position w:val="-30"/>
          <w:sz w:val="24"/>
          <w:szCs w:val="24"/>
        </w:rPr>
        <w:object>
          <v:shape id="_x0000_i1027" o:spt="75" type="#_x0000_t75" style="height:36pt;width:72pt;" o:ole="t" filled="f" o:preferrelative="t" stroked="f" coordsize="21600,21600">
            <v:path/>
            <v:fill on="f" focussize="0,0"/>
            <v:stroke on="f" joinstyle="miter"/>
            <v:imagedata r:id="rId20" o:title=""/>
            <o:lock v:ext="edit" aspectratio="t"/>
            <w10:wrap type="none"/>
            <w10:anchorlock/>
          </v:shape>
          <o:OLEObject Type="Embed" ProgID="Equation.KSEE3" ShapeID="_x0000_i1027" DrawAspect="Content" ObjectID="_1468075727" r:id="rId19">
            <o:LockedField>false</o:LockedField>
          </o:OLEObject>
        </w:object>
      </w:r>
      <w:r>
        <w:rPr>
          <w:rFonts w:hint="eastAsia" w:ascii="Times New Roman" w:hAnsi="Times New Roman"/>
          <w:position w:val="-30"/>
        </w:rPr>
        <w:tab/>
      </w:r>
      <w:r>
        <w:rPr>
          <w:rFonts w:hint="eastAsia" w:ascii="Times New Roman" w:hAnsi="Times New Roman"/>
          <w:position w:val="-30"/>
        </w:rPr>
        <w:t>（3）</w:t>
      </w:r>
    </w:p>
    <w:p w14:paraId="6B217F79">
      <w:pPr>
        <w:adjustRightInd/>
        <w:spacing w:line="240" w:lineRule="auto"/>
        <w:ind w:firstLine="420" w:firstLineChars="200"/>
        <w:rPr>
          <w:rFonts w:ascii="Times New Roman" w:hAnsi="Times New Roman"/>
        </w:rPr>
      </w:pPr>
      <w:r>
        <w:rPr>
          <w:rFonts w:ascii="Times New Roman" w:hAnsi="Times New Roman"/>
        </w:rPr>
        <w:t>组内方差：</w:t>
      </w:r>
    </w:p>
    <w:p w14:paraId="7F2443F5">
      <w:pPr>
        <w:tabs>
          <w:tab w:val="center" w:pos="4095"/>
          <w:tab w:val="right" w:leader="middleDot" w:pos="8190"/>
        </w:tabs>
        <w:adjustRightInd/>
        <w:spacing w:line="240" w:lineRule="auto"/>
        <w:ind w:firstLine="480" w:firstLineChars="200"/>
        <w:jc w:val="center"/>
        <w:textAlignment w:val="center"/>
        <w:rPr>
          <w:rFonts w:ascii="Times New Roman" w:hAnsi="Times New Roman"/>
          <w:sz w:val="24"/>
          <w:szCs w:val="24"/>
        </w:rPr>
      </w:pPr>
      <w:r>
        <w:rPr>
          <w:rFonts w:hint="eastAsia" w:ascii="Times New Roman" w:hAnsi="Times New Roman"/>
          <w:position w:val="-30"/>
          <w:sz w:val="24"/>
          <w:szCs w:val="24"/>
        </w:rPr>
        <w:tab/>
      </w:r>
      <w:r>
        <w:rPr>
          <w:rFonts w:ascii="Times New Roman" w:hAnsi="Times New Roman"/>
          <w:position w:val="-30"/>
          <w:sz w:val="24"/>
          <w:szCs w:val="24"/>
        </w:rPr>
        <w:object>
          <v:shape id="_x0000_i1028" o:spt="75" type="#_x0000_t75" style="height:36pt;width:72pt;" o:ole="t" filled="f" o:preferrelative="t" stroked="f" coordsize="21600,21600">
            <v:path/>
            <v:fill on="f" focussize="0,0"/>
            <v:stroke on="f" joinstyle="miter"/>
            <v:imagedata r:id="rId22" o:title=""/>
            <o:lock v:ext="edit" aspectratio="t"/>
            <w10:wrap type="none"/>
            <w10:anchorlock/>
          </v:shape>
          <o:OLEObject Type="Embed" ProgID="Equation.KSEE3" ShapeID="_x0000_i1028" DrawAspect="Content" ObjectID="_1468075728" r:id="rId21">
            <o:LockedField>false</o:LockedField>
          </o:OLEObject>
        </w:object>
      </w:r>
      <w:r>
        <w:rPr>
          <w:rFonts w:hint="eastAsia" w:ascii="Times New Roman" w:hAnsi="Times New Roman"/>
          <w:position w:val="-30"/>
          <w:sz w:val="24"/>
          <w:szCs w:val="24"/>
        </w:rPr>
        <w:t xml:space="preserve"> </w:t>
      </w:r>
      <w:r>
        <w:rPr>
          <w:rFonts w:hint="eastAsia" w:ascii="Times New Roman" w:hAnsi="Times New Roman"/>
          <w:position w:val="-30"/>
        </w:rPr>
        <w:tab/>
      </w:r>
      <w:r>
        <w:rPr>
          <w:rFonts w:hint="eastAsia" w:ascii="Times New Roman" w:hAnsi="Times New Roman"/>
          <w:position w:val="-30"/>
        </w:rPr>
        <w:t>（4）</w:t>
      </w:r>
    </w:p>
    <w:p w14:paraId="2D5009B6">
      <w:pPr>
        <w:adjustRightInd/>
        <w:spacing w:line="240" w:lineRule="auto"/>
        <w:ind w:firstLine="420" w:firstLineChars="200"/>
        <w:rPr>
          <w:rFonts w:ascii="Times New Roman" w:hAnsi="Times New Roman"/>
        </w:rPr>
      </w:pPr>
      <w:r>
        <w:rPr>
          <w:rFonts w:ascii="Times New Roman" w:hAnsi="Times New Roman"/>
        </w:rPr>
        <w:t>统计量：</w:t>
      </w:r>
    </w:p>
    <w:p w14:paraId="729160C2">
      <w:pPr>
        <w:tabs>
          <w:tab w:val="center" w:pos="4095"/>
          <w:tab w:val="right" w:leader="middleDot" w:pos="8190"/>
        </w:tabs>
        <w:adjustRightInd/>
        <w:spacing w:line="240" w:lineRule="auto"/>
        <w:ind w:firstLine="480" w:firstLineChars="200"/>
        <w:jc w:val="center"/>
        <w:textAlignment w:val="center"/>
        <w:rPr>
          <w:rFonts w:ascii="Times New Roman" w:hAnsi="Times New Roman"/>
          <w:sz w:val="24"/>
          <w:szCs w:val="24"/>
        </w:rPr>
      </w:pPr>
      <w:r>
        <w:rPr>
          <w:rFonts w:hint="eastAsia" w:ascii="Times New Roman" w:hAnsi="Times New Roman"/>
          <w:position w:val="-30"/>
          <w:sz w:val="24"/>
          <w:szCs w:val="24"/>
        </w:rPr>
        <w:tab/>
      </w:r>
      <w:r>
        <w:rPr>
          <w:rFonts w:ascii="Times New Roman" w:hAnsi="Times New Roman"/>
          <w:position w:val="-30"/>
          <w:sz w:val="24"/>
          <w:szCs w:val="24"/>
        </w:rPr>
        <w:object>
          <v:shape id="_x0000_i1029" o:spt="75" type="#_x0000_t75" style="height:36pt;width:64.9pt;" o:ole="t" filled="f" o:preferrelative="t" stroked="f" coordsize="21600,21600">
            <v:path/>
            <v:fill on="f" focussize="0,0"/>
            <v:stroke on="f" joinstyle="miter"/>
            <v:imagedata r:id="rId24" o:title=""/>
            <o:lock v:ext="edit" aspectratio="t"/>
            <w10:wrap type="none"/>
            <w10:anchorlock/>
          </v:shape>
          <o:OLEObject Type="Embed" ProgID="Equation.KSEE3" ShapeID="_x0000_i1029" DrawAspect="Content" ObjectID="_1468075729" r:id="rId23">
            <o:LockedField>false</o:LockedField>
          </o:OLEObject>
        </w:object>
      </w:r>
      <w:r>
        <w:rPr>
          <w:rFonts w:hint="eastAsia" w:ascii="Times New Roman" w:hAnsi="Times New Roman"/>
          <w:position w:val="-30"/>
        </w:rPr>
        <w:tab/>
      </w:r>
      <w:r>
        <w:rPr>
          <w:rFonts w:hint="eastAsia" w:ascii="Times New Roman" w:hAnsi="Times New Roman"/>
          <w:position w:val="-30"/>
        </w:rPr>
        <w:t>（5）</w:t>
      </w:r>
    </w:p>
    <w:p w14:paraId="4E39E3EB">
      <w:pPr>
        <w:adjustRightInd/>
        <w:spacing w:line="240" w:lineRule="auto"/>
        <w:ind w:firstLine="420" w:firstLineChars="200"/>
        <w:rPr>
          <w:rFonts w:ascii="Times New Roman" w:hAnsi="Times New Roman"/>
        </w:rPr>
      </w:pPr>
      <w:r>
        <w:rPr>
          <w:rFonts w:ascii="Times New Roman" w:hAnsi="Times New Roman"/>
        </w:rPr>
        <w:t>组间自由度：</w:t>
      </w:r>
    </w:p>
    <w:p w14:paraId="1DE98883">
      <w:pPr>
        <w:tabs>
          <w:tab w:val="center" w:pos="4095"/>
          <w:tab w:val="right" w:leader="middleDot" w:pos="8190"/>
        </w:tabs>
        <w:adjustRightInd/>
        <w:spacing w:line="240" w:lineRule="auto"/>
        <w:ind w:firstLine="480" w:firstLineChars="200"/>
        <w:jc w:val="center"/>
        <w:textAlignment w:val="center"/>
        <w:rPr>
          <w:rFonts w:ascii="Times New Roman" w:hAnsi="Times New Roman"/>
          <w:sz w:val="24"/>
          <w:szCs w:val="24"/>
        </w:rPr>
      </w:pPr>
      <w:r>
        <w:rPr>
          <w:rFonts w:hint="eastAsia" w:ascii="Times New Roman" w:hAnsi="Times New Roman"/>
          <w:position w:val="-10"/>
          <w:sz w:val="24"/>
          <w:szCs w:val="24"/>
        </w:rPr>
        <w:tab/>
      </w:r>
      <w:r>
        <w:rPr>
          <w:rFonts w:ascii="Times New Roman" w:hAnsi="Times New Roman"/>
          <w:position w:val="-10"/>
          <w:sz w:val="24"/>
          <w:szCs w:val="24"/>
        </w:rPr>
        <w:object>
          <v:shape id="_x0000_i1030" o:spt="75" type="#_x0000_t75" style="height:14.2pt;width:50.2pt;" o:ole="t" filled="f" o:preferrelative="t" stroked="f" coordsize="21600,21600">
            <v:path/>
            <v:fill on="f" focussize="0,0"/>
            <v:stroke on="f" joinstyle="miter"/>
            <v:imagedata r:id="rId26" o:title=""/>
            <o:lock v:ext="edit" aspectratio="t"/>
            <w10:wrap type="none"/>
            <w10:anchorlock/>
          </v:shape>
          <o:OLEObject Type="Embed" ProgID="Equation.KSEE3" ShapeID="_x0000_i1030" DrawAspect="Content" ObjectID="_1468075730" r:id="rId25">
            <o:LockedField>false</o:LockedField>
          </o:OLEObject>
        </w:object>
      </w:r>
      <w:r>
        <w:rPr>
          <w:rFonts w:hint="eastAsia" w:ascii="Times New Roman" w:hAnsi="Times New Roman"/>
          <w:position w:val="-10"/>
        </w:rPr>
        <w:tab/>
      </w:r>
      <w:r>
        <w:rPr>
          <w:rFonts w:hint="eastAsia" w:ascii="Times New Roman" w:hAnsi="Times New Roman"/>
          <w:position w:val="-10"/>
        </w:rPr>
        <w:t>（6）</w:t>
      </w:r>
    </w:p>
    <w:p w14:paraId="2326D0C6">
      <w:pPr>
        <w:adjustRightInd/>
        <w:spacing w:line="240" w:lineRule="auto"/>
        <w:ind w:firstLine="420" w:firstLineChars="200"/>
        <w:rPr>
          <w:rFonts w:ascii="Times New Roman" w:hAnsi="Times New Roman"/>
        </w:rPr>
      </w:pPr>
      <w:r>
        <w:rPr>
          <w:rFonts w:ascii="Times New Roman" w:hAnsi="Times New Roman"/>
        </w:rPr>
        <w:t>组内自由度：</w:t>
      </w:r>
    </w:p>
    <w:p w14:paraId="232404D6">
      <w:pPr>
        <w:tabs>
          <w:tab w:val="center" w:pos="4095"/>
          <w:tab w:val="right" w:leader="middleDot" w:pos="8190"/>
        </w:tabs>
        <w:adjustRightInd/>
        <w:spacing w:line="240" w:lineRule="auto"/>
        <w:ind w:firstLine="480" w:firstLineChars="200"/>
        <w:jc w:val="center"/>
        <w:rPr>
          <w:rFonts w:ascii="Times New Roman" w:hAnsi="Times New Roman"/>
          <w:sz w:val="24"/>
          <w:szCs w:val="24"/>
        </w:rPr>
      </w:pPr>
      <w:r>
        <w:rPr>
          <w:rFonts w:hint="eastAsia" w:ascii="Times New Roman" w:hAnsi="Times New Roman"/>
          <w:position w:val="-10"/>
          <w:sz w:val="24"/>
          <w:szCs w:val="24"/>
        </w:rPr>
        <w:tab/>
      </w:r>
      <w:r>
        <w:rPr>
          <w:rFonts w:ascii="Times New Roman" w:hAnsi="Times New Roman"/>
          <w:position w:val="-10"/>
          <w:sz w:val="24"/>
          <w:szCs w:val="24"/>
        </w:rPr>
        <w:object>
          <v:shape id="_x0000_i1031" o:spt="75" type="#_x0000_t75" style="height:14.2pt;width:57.8pt;" o:ole="t" filled="f" o:preferrelative="t" stroked="f" coordsize="21600,21600">
            <v:path/>
            <v:fill on="f" focussize="0,0"/>
            <v:stroke on="f" joinstyle="miter"/>
            <v:imagedata r:id="rId28" o:title=""/>
            <o:lock v:ext="edit" aspectratio="t"/>
            <w10:wrap type="none"/>
            <w10:anchorlock/>
          </v:shape>
          <o:OLEObject Type="Embed" ProgID="Equation.KSEE3" ShapeID="_x0000_i1031" DrawAspect="Content" ObjectID="_1468075731" r:id="rId27">
            <o:LockedField>false</o:LockedField>
          </o:OLEObject>
        </w:object>
      </w:r>
      <w:r>
        <w:rPr>
          <w:rFonts w:hint="eastAsia" w:ascii="Times New Roman" w:hAnsi="Times New Roman"/>
          <w:position w:val="-10"/>
        </w:rPr>
        <w:tab/>
      </w:r>
      <w:r>
        <w:rPr>
          <w:rFonts w:hint="eastAsia" w:ascii="Times New Roman" w:hAnsi="Times New Roman"/>
          <w:position w:val="-10"/>
        </w:rPr>
        <w:t>（7）</w:t>
      </w:r>
    </w:p>
    <w:p w14:paraId="37DA5577">
      <w:pPr>
        <w:adjustRightInd/>
        <w:spacing w:line="240" w:lineRule="auto"/>
        <w:ind w:firstLine="420" w:firstLineChars="200"/>
        <w:rPr>
          <w:rFonts w:ascii="Times New Roman" w:hAnsi="Times New Roman"/>
          <w:kern w:val="0"/>
          <w:lang w:bidi="ar"/>
        </w:rPr>
      </w:pPr>
      <w:r>
        <w:rPr>
          <w:rFonts w:ascii="Times New Roman" w:hAnsi="Times New Roman"/>
        </w:rPr>
        <w:t>独立容器间</w:t>
      </w:r>
      <w:r>
        <w:rPr>
          <w:rFonts w:hint="eastAsia" w:ascii="Times New Roman" w:hAnsi="Times New Roman"/>
          <w:kern w:val="0"/>
          <w:lang w:bidi="ar"/>
        </w:rPr>
        <w:t>平方</w:t>
      </w:r>
      <w:r>
        <w:rPr>
          <w:rFonts w:ascii="Times New Roman" w:hAnsi="Times New Roman"/>
          <w:kern w:val="0"/>
          <w:lang w:bidi="ar"/>
        </w:rPr>
        <w:t>和：</w:t>
      </w:r>
    </w:p>
    <w:p w14:paraId="4E0D9A42">
      <w:pPr>
        <w:tabs>
          <w:tab w:val="center" w:pos="4095"/>
          <w:tab w:val="right" w:leader="middleDot" w:pos="8190"/>
        </w:tabs>
        <w:adjustRightInd/>
        <w:spacing w:line="240" w:lineRule="auto"/>
        <w:ind w:firstLine="480" w:firstLineChars="200"/>
        <w:jc w:val="center"/>
        <w:textAlignment w:val="center"/>
        <w:rPr>
          <w:rFonts w:ascii="Times New Roman" w:hAnsi="Times New Roman"/>
          <w:sz w:val="24"/>
          <w:szCs w:val="24"/>
        </w:rPr>
      </w:pPr>
      <w:r>
        <w:rPr>
          <w:rFonts w:hint="eastAsia" w:ascii="Times New Roman" w:hAnsi="Times New Roman"/>
          <w:kern w:val="0"/>
          <w:position w:val="-28"/>
          <w:sz w:val="24"/>
          <w:szCs w:val="24"/>
          <w:lang w:bidi="ar"/>
        </w:rPr>
        <w:tab/>
      </w:r>
      <w:r>
        <w:rPr>
          <w:rFonts w:ascii="Times New Roman" w:hAnsi="Times New Roman"/>
          <w:kern w:val="0"/>
          <w:position w:val="-28"/>
          <w:sz w:val="24"/>
          <w:szCs w:val="24"/>
          <w:lang w:bidi="ar"/>
        </w:rPr>
        <w:object>
          <v:shape id="_x0000_i1032" o:spt="75" type="#_x0000_t75" style="height:36pt;width:93.8pt;" o:ole="t" filled="f" o:preferrelative="t" stroked="f" coordsize="21600,21600">
            <v:path/>
            <v:fill on="f" focussize="0,0"/>
            <v:stroke on="f" joinstyle="miter"/>
            <v:imagedata r:id="rId30" o:title=""/>
            <o:lock v:ext="edit" aspectratio="t"/>
            <w10:wrap type="none"/>
            <w10:anchorlock/>
          </v:shape>
          <o:OLEObject Type="Embed" ProgID="Equation.KSEE3" ShapeID="_x0000_i1032" DrawAspect="Content" ObjectID="_1468075732" r:id="rId29">
            <o:LockedField>false</o:LockedField>
          </o:OLEObject>
        </w:object>
      </w:r>
      <w:r>
        <w:rPr>
          <w:rFonts w:hint="eastAsia" w:ascii="Times New Roman" w:hAnsi="Times New Roman"/>
          <w:kern w:val="0"/>
          <w:position w:val="-28"/>
          <w:lang w:bidi="ar"/>
        </w:rPr>
        <w:tab/>
      </w:r>
      <w:r>
        <w:rPr>
          <w:rFonts w:hint="eastAsia" w:ascii="Times New Roman" w:hAnsi="Times New Roman"/>
          <w:kern w:val="0"/>
          <w:position w:val="-28"/>
          <w:lang w:bidi="ar"/>
        </w:rPr>
        <w:t>（8）</w:t>
      </w:r>
    </w:p>
    <w:p w14:paraId="7AE3C29F">
      <w:pPr>
        <w:adjustRightInd/>
        <w:spacing w:line="240" w:lineRule="auto"/>
        <w:ind w:firstLine="420" w:firstLineChars="200"/>
        <w:rPr>
          <w:rFonts w:ascii="Times New Roman" w:hAnsi="Times New Roman"/>
          <w:kern w:val="0"/>
          <w:lang w:bidi="ar"/>
        </w:rPr>
      </w:pPr>
      <w:r>
        <w:rPr>
          <w:rFonts w:ascii="Times New Roman" w:hAnsi="Times New Roman"/>
        </w:rPr>
        <w:t>独立容器</w:t>
      </w:r>
      <w:r>
        <w:rPr>
          <w:rFonts w:ascii="Times New Roman" w:hAnsi="Times New Roman"/>
          <w:kern w:val="0"/>
          <w:lang w:bidi="ar"/>
        </w:rPr>
        <w:t>内差方和：</w:t>
      </w:r>
    </w:p>
    <w:p w14:paraId="0EAE3624">
      <w:pPr>
        <w:tabs>
          <w:tab w:val="center" w:pos="4095"/>
          <w:tab w:val="right" w:leader="middleDot" w:pos="8190"/>
        </w:tabs>
        <w:adjustRightInd/>
        <w:spacing w:line="240" w:lineRule="auto"/>
        <w:ind w:firstLine="480" w:firstLineChars="200"/>
        <w:jc w:val="center"/>
        <w:textAlignment w:val="center"/>
        <w:rPr>
          <w:rFonts w:ascii="Times New Roman" w:hAnsi="Times New Roman"/>
          <w:kern w:val="0"/>
          <w:position w:val="-30"/>
          <w:sz w:val="24"/>
          <w:szCs w:val="24"/>
          <w:lang w:bidi="ar"/>
        </w:rPr>
      </w:pPr>
      <w:r>
        <w:rPr>
          <w:rFonts w:hint="eastAsia" w:ascii="Times New Roman" w:hAnsi="Times New Roman"/>
          <w:kern w:val="0"/>
          <w:position w:val="-30"/>
          <w:sz w:val="24"/>
          <w:szCs w:val="24"/>
          <w:lang w:bidi="ar"/>
        </w:rPr>
        <w:tab/>
      </w:r>
      <w:r>
        <w:rPr>
          <w:rFonts w:ascii="Times New Roman" w:hAnsi="Times New Roman"/>
          <w:kern w:val="0"/>
          <w:position w:val="-30"/>
          <w:sz w:val="24"/>
          <w:szCs w:val="24"/>
          <w:lang w:bidi="ar"/>
        </w:rPr>
        <w:object>
          <v:shape id="_x0000_i1033" o:spt="75" type="#_x0000_t75" style="height:36pt;width:108pt;" o:ole="t" filled="f" o:preferrelative="t" stroked="f" coordsize="21600,21600">
            <v:path/>
            <v:fill on="f" focussize="0,0"/>
            <v:stroke on="f" joinstyle="miter"/>
            <v:imagedata r:id="rId32" o:title=""/>
            <o:lock v:ext="edit" aspectratio="t"/>
            <w10:wrap type="none"/>
            <w10:anchorlock/>
          </v:shape>
          <o:OLEObject Type="Embed" ProgID="Equation.KSEE3" ShapeID="_x0000_i1033" DrawAspect="Content" ObjectID="_1468075733" r:id="rId31">
            <o:LockedField>false</o:LockedField>
          </o:OLEObject>
        </w:object>
      </w:r>
      <w:r>
        <w:rPr>
          <w:rFonts w:hint="eastAsia" w:ascii="Times New Roman" w:hAnsi="Times New Roman"/>
          <w:kern w:val="0"/>
          <w:position w:val="-30"/>
          <w:lang w:bidi="ar"/>
        </w:rPr>
        <w:tab/>
      </w:r>
      <w:r>
        <w:rPr>
          <w:rFonts w:hint="eastAsia" w:ascii="Times New Roman" w:hAnsi="Times New Roman"/>
          <w:kern w:val="0"/>
          <w:position w:val="-30"/>
          <w:lang w:bidi="ar"/>
        </w:rPr>
        <w:t>（9）</w:t>
      </w:r>
    </w:p>
    <w:p w14:paraId="4C5FB79A">
      <w:pPr>
        <w:pStyle w:val="61"/>
        <w:ind w:firstLine="420"/>
        <w:rPr>
          <w:rFonts w:ascii="Times New Roman"/>
          <w:szCs w:val="21"/>
          <w:lang w:bidi="ar"/>
        </w:rPr>
      </w:pPr>
      <w:r>
        <w:rPr>
          <w:rFonts w:hint="eastAsia" w:ascii="Times New Roman"/>
          <w:szCs w:val="21"/>
          <w:lang w:bidi="ar"/>
        </w:rPr>
        <w:t>单元间方差：</w:t>
      </w:r>
    </w:p>
    <w:p w14:paraId="0F137573">
      <w:pPr>
        <w:pStyle w:val="61"/>
        <w:tabs>
          <w:tab w:val="center" w:pos="4095"/>
          <w:tab w:val="right" w:leader="middleDot" w:pos="8190"/>
        </w:tabs>
        <w:ind w:firstLine="420"/>
        <w:jc w:val="center"/>
        <w:textAlignment w:val="center"/>
      </w:pPr>
      <w:r>
        <w:rPr>
          <w:rFonts w:hint="eastAsia"/>
          <w:position w:val="-30"/>
        </w:rPr>
        <w:tab/>
      </w:r>
      <w:r>
        <w:rPr>
          <w:rFonts w:hint="eastAsia"/>
          <w:position w:val="-30"/>
        </w:rPr>
        <w:object>
          <v:shape id="_x0000_i1034" o:spt="75" type="#_x0000_t75" style="height:36pt;width:129.8pt;" o:ole="t" filled="f" o:preferrelative="t" stroked="f" coordsize="21600,21600">
            <v:path/>
            <v:fill on="f" focussize="0,0"/>
            <v:stroke on="f" joinstyle="miter"/>
            <v:imagedata r:id="rId34" o:title=""/>
            <o:lock v:ext="edit" aspectratio="t"/>
            <w10:wrap type="none"/>
            <w10:anchorlock/>
          </v:shape>
          <o:OLEObject Type="Embed" ProgID="Equation.KSEE3" ShapeID="_x0000_i1034" DrawAspect="Content" ObjectID="_1468075734" r:id="rId33">
            <o:LockedField>false</o:LockedField>
          </o:OLEObject>
        </w:object>
      </w:r>
      <w:r>
        <w:rPr>
          <w:rFonts w:hint="eastAsia"/>
          <w:position w:val="-30"/>
        </w:rPr>
        <w:tab/>
      </w:r>
      <w:r>
        <w:rPr>
          <w:rFonts w:hint="eastAsia" w:ascii="Times New Roman"/>
          <w:position w:val="-30"/>
          <w:sz w:val="24"/>
          <w:szCs w:val="24"/>
          <w:lang w:bidi="ar"/>
        </w:rPr>
        <w:t>（10）</w:t>
      </w:r>
    </w:p>
    <w:p w14:paraId="788D82D5">
      <w:pPr>
        <w:pStyle w:val="61"/>
        <w:ind w:firstLine="420"/>
      </w:pPr>
      <w:r>
        <w:rPr>
          <w:rFonts w:hint="eastAsia"/>
        </w:rPr>
        <w:t>单元间标准差：</w:t>
      </w:r>
    </w:p>
    <w:p w14:paraId="67E11F36">
      <w:pPr>
        <w:pStyle w:val="61"/>
        <w:tabs>
          <w:tab w:val="center" w:pos="4095"/>
          <w:tab w:val="right" w:leader="middleDot" w:pos="8190"/>
        </w:tabs>
        <w:ind w:firstLine="420"/>
        <w:jc w:val="center"/>
        <w:textAlignment w:val="center"/>
      </w:pPr>
      <w:r>
        <w:rPr>
          <w:rFonts w:hint="eastAsia"/>
          <w:position w:val="-12"/>
        </w:rPr>
        <w:tab/>
      </w:r>
      <w:r>
        <w:rPr>
          <w:rFonts w:hint="eastAsia"/>
          <w:position w:val="-12"/>
        </w:rPr>
        <w:object>
          <v:shape id="_x0000_i1035" o:spt="75" type="#_x0000_t75" style="height:21.8pt;width:79.1pt;" o:ole="t" filled="f" o:preferrelative="t" stroked="f" coordsize="21600,21600">
            <v:path/>
            <v:fill on="f" focussize="0,0"/>
            <v:stroke on="f" joinstyle="miter"/>
            <v:imagedata r:id="rId36" o:title=""/>
            <o:lock v:ext="edit" aspectratio="t"/>
            <w10:wrap type="none"/>
            <w10:anchorlock/>
          </v:shape>
          <o:OLEObject Type="Embed" ProgID="Equation.KSEE3" ShapeID="_x0000_i1035" DrawAspect="Content" ObjectID="_1468075735" r:id="rId35">
            <o:LockedField>false</o:LockedField>
          </o:OLEObject>
        </w:object>
      </w:r>
      <w:r>
        <w:rPr>
          <w:rFonts w:hint="eastAsia"/>
          <w:position w:val="-12"/>
        </w:rPr>
        <w:tab/>
      </w:r>
      <w:r>
        <w:rPr>
          <w:rFonts w:ascii="Times New Roman"/>
          <w:position w:val="-12"/>
        </w:rPr>
        <w:t>（11）</w:t>
      </w:r>
    </w:p>
    <w:p w14:paraId="427741F2">
      <w:pPr>
        <w:pStyle w:val="60"/>
        <w:spacing w:line="240" w:lineRule="auto"/>
        <w:ind w:firstLine="420"/>
      </w:pPr>
      <w:r>
        <w:rPr>
          <w:rFonts w:hint="eastAsia"/>
        </w:rPr>
        <w:t>重复性标准差：</w:t>
      </w:r>
    </w:p>
    <w:p w14:paraId="7429A6E5">
      <w:pPr>
        <w:pStyle w:val="60"/>
        <w:tabs>
          <w:tab w:val="center" w:pos="4095"/>
          <w:tab w:val="right" w:leader="middleDot" w:pos="8190"/>
        </w:tabs>
        <w:spacing w:line="240" w:lineRule="auto"/>
        <w:ind w:firstLine="420"/>
        <w:jc w:val="center"/>
        <w:textAlignment w:val="center"/>
        <w:rPr>
          <w:rFonts w:ascii="Times New Roman" w:hAnsi="Times New Roman"/>
          <w:position w:val="-30"/>
          <w:sz w:val="24"/>
          <w:szCs w:val="24"/>
          <w:lang w:bidi="ar"/>
        </w:rPr>
      </w:pPr>
      <w:r>
        <w:rPr>
          <w:rFonts w:hint="eastAsia"/>
          <w:position w:val="-14"/>
        </w:rPr>
        <w:tab/>
      </w:r>
      <w:r>
        <w:rPr>
          <w:position w:val="-14"/>
        </w:rPr>
        <w:object>
          <v:shape id="_x0000_i1036" o:spt="75" type="#_x0000_t75" style="height:21.8pt;width:64.9pt;" o:ole="t" filled="f" o:preferrelative="t" stroked="f" coordsize="21600,21600">
            <v:path/>
            <v:fill on="f" focussize="0,0"/>
            <v:stroke on="f" joinstyle="miter"/>
            <v:imagedata r:id="rId38" o:title=""/>
            <o:lock v:ext="edit" aspectratio="t"/>
            <w10:wrap type="none"/>
            <w10:anchorlock/>
          </v:shape>
          <o:OLEObject Type="Embed" ProgID="Equation.KSEE3" ShapeID="_x0000_i1036" DrawAspect="Content" ObjectID="_1468075736" r:id="rId37">
            <o:LockedField>false</o:LockedField>
          </o:OLEObject>
        </w:object>
      </w:r>
      <w:r>
        <w:rPr>
          <w:rFonts w:hint="eastAsia"/>
          <w:position w:val="-14"/>
        </w:rPr>
        <w:tab/>
      </w:r>
      <w:r>
        <w:rPr>
          <w:rFonts w:hint="eastAsia"/>
          <w:position w:val="-14"/>
        </w:rPr>
        <w:t>（12）</w:t>
      </w:r>
    </w:p>
    <w:p w14:paraId="7CF4920E">
      <w:pPr>
        <w:adjustRightInd/>
        <w:spacing w:line="360" w:lineRule="auto"/>
        <w:rPr>
          <w:rFonts w:ascii="Times New Roman" w:hAnsi="Times New Roman"/>
        </w:rPr>
      </w:pPr>
      <w:r>
        <w:rPr>
          <w:rFonts w:ascii="Times New Roman" w:hAnsi="Times New Roman"/>
        </w:rPr>
        <w:t>式中：</w:t>
      </w:r>
    </w:p>
    <w:p w14:paraId="4D940E75">
      <w:pPr>
        <w:adjustRightInd/>
        <w:spacing w:line="240" w:lineRule="auto"/>
        <w:ind w:firstLine="420" w:firstLineChars="200"/>
        <w:rPr>
          <w:rFonts w:ascii="Times New Roman" w:hAnsi="Times New Roman"/>
        </w:rPr>
      </w:pPr>
      <w:r>
        <w:rPr>
          <w:rFonts w:hint="eastAsia" w:ascii="微软雅黑" w:hAnsi="微软雅黑" w:eastAsia="微软雅黑" w:cs="微软雅黑"/>
          <w:position w:val="-6"/>
        </w:rPr>
        <w:object>
          <v:shape id="_x0000_i1037" o:spt="75" type="#_x0000_t75" style="height:13.75pt;width:43.1pt;" o:ole="t" filled="f" o:preferrelative="t" stroked="f" coordsize="21600,21600">
            <v:path/>
            <v:fill on="f" focussize="0,0"/>
            <v:stroke on="f" joinstyle="miter"/>
            <v:imagedata r:id="rId40" o:title=""/>
            <o:lock v:ext="edit" aspectratio="t"/>
            <w10:wrap type="none"/>
            <w10:anchorlock/>
          </v:shape>
          <o:OLEObject Type="Embed" ProgID="Equation.KSEE3" ShapeID="_x0000_i1037" DrawAspect="Content" ObjectID="_1468075737" r:id="rId39">
            <o:LockedField>false</o:LockedField>
          </o:OLEObject>
        </w:object>
      </w:r>
      <w:r>
        <w:rPr>
          <w:rFonts w:hint="eastAsia" w:ascii="微软雅黑" w:hAnsi="微软雅黑" w:eastAsia="微软雅黑" w:cs="微软雅黑"/>
        </w:rPr>
        <w:t>——</w:t>
      </w:r>
      <w:r>
        <w:rPr>
          <w:rFonts w:hint="eastAsia" w:ascii="Times New Roman" w:hAnsi="Times New Roman"/>
        </w:rPr>
        <w:t>组间方差；</w:t>
      </w:r>
    </w:p>
    <w:p w14:paraId="43FB8395">
      <w:pPr>
        <w:adjustRightInd/>
        <w:spacing w:line="240" w:lineRule="auto"/>
        <w:ind w:firstLine="420" w:firstLineChars="200"/>
        <w:rPr>
          <w:rFonts w:ascii="Times New Roman" w:hAnsi="Times New Roman"/>
        </w:rPr>
      </w:pPr>
      <w:r>
        <w:rPr>
          <w:rFonts w:hint="eastAsia" w:ascii="Times New Roman" w:hAnsi="Times New Roman"/>
          <w:position w:val="-6"/>
        </w:rPr>
        <w:object>
          <v:shape id="_x0000_i1038" o:spt="75" type="#_x0000_t75" style="height:13.75pt;width:37.9pt;" o:ole="t" filled="f" o:preferrelative="t" stroked="f" coordsize="21600,21600">
            <v:path/>
            <v:fill on="f" focussize="0,0"/>
            <v:stroke on="f" joinstyle="miter"/>
            <v:imagedata r:id="rId42" o:title=""/>
            <o:lock v:ext="edit" aspectratio="t"/>
            <w10:wrap type="none"/>
            <w10:anchorlock/>
          </v:shape>
          <o:OLEObject Type="Embed" ProgID="Equation.KSEE3" ShapeID="_x0000_i1038" DrawAspect="Content" ObjectID="_1468075738" r:id="rId41">
            <o:LockedField>false</o:LockedField>
          </o:OLEObject>
        </w:object>
      </w:r>
      <w:r>
        <w:rPr>
          <w:rFonts w:hint="eastAsia" w:ascii="微软雅黑" w:hAnsi="微软雅黑" w:eastAsia="微软雅黑" w:cs="微软雅黑"/>
        </w:rPr>
        <w:t>——</w:t>
      </w:r>
      <w:r>
        <w:rPr>
          <w:rFonts w:hint="eastAsia" w:ascii="Times New Roman" w:hAnsi="Times New Roman"/>
        </w:rPr>
        <w:t>组内方差；</w:t>
      </w:r>
    </w:p>
    <w:p w14:paraId="22F3C63E">
      <w:pPr>
        <w:adjustRightInd/>
        <w:spacing w:line="240" w:lineRule="auto"/>
        <w:ind w:firstLine="420" w:firstLineChars="200"/>
        <w:rPr>
          <w:rFonts w:ascii="Times New Roman" w:hAnsi="Times New Roman" w:eastAsia="微软雅黑"/>
        </w:rPr>
      </w:pPr>
      <m:oMath>
        <m:sSub>
          <m:sSubPr>
            <m:ctrlPr>
              <w:rPr>
                <w:rFonts w:ascii="Cambria Math" w:hAnsi="Cambria Math"/>
              </w:rPr>
            </m:ctrlPr>
          </m:sSubPr>
          <m:e>
            <m:r>
              <m:rPr/>
              <w:rPr>
                <w:rFonts w:ascii="Cambria Math" w:hAnsi="Cambria Math"/>
              </w:rPr>
              <m:t>n</m:t>
            </m:r>
            <m:ctrlPr>
              <w:rPr>
                <w:rFonts w:ascii="Cambria Math" w:hAnsi="Cambria Math"/>
              </w:rPr>
            </m:ctrlPr>
          </m:e>
          <m:sub>
            <m:r>
              <m:rPr>
                <m:sty m:val="p"/>
              </m:rPr>
              <w:rPr>
                <w:rFonts w:ascii="Cambria Math" w:hAnsi="Cambria Math"/>
              </w:rPr>
              <m:t>0</m:t>
            </m:r>
            <m:ctrlPr>
              <w:rPr>
                <w:rFonts w:ascii="Cambria Math" w:hAnsi="Cambria Math"/>
              </w:rPr>
            </m:ctrlPr>
          </m:sub>
        </m:sSub>
      </m:oMath>
      <w:r>
        <w:rPr>
          <w:rFonts w:hint="eastAsia" w:ascii="微软雅黑" w:hAnsi="微软雅黑" w:eastAsia="微软雅黑" w:cs="微软雅黑"/>
        </w:rPr>
        <w:t>——</w:t>
      </w:r>
      <w:r>
        <w:rPr>
          <w:rFonts w:hint="eastAsia" w:ascii="Times New Roman" w:hAnsi="Times New Roman"/>
        </w:rPr>
        <w:t>每个单元观测的次数；</w:t>
      </w:r>
    </w:p>
    <w:p w14:paraId="7D090D90">
      <w:pPr>
        <w:adjustRightInd/>
        <w:spacing w:line="240" w:lineRule="auto"/>
        <w:ind w:firstLine="420" w:firstLineChars="200"/>
        <w:rPr>
          <w:rFonts w:ascii="Times New Roman" w:hAnsi="Times New Roman"/>
        </w:rPr>
      </w:pPr>
      <w:r>
        <w:rPr>
          <w:rFonts w:ascii="Times New Roman" w:hAnsi="Times New Roman"/>
        </w:rPr>
        <w:t>m</w:t>
      </w:r>
      <w:r>
        <w:rPr>
          <w:rFonts w:hint="eastAsia" w:ascii="微软雅黑" w:hAnsi="微软雅黑" w:eastAsia="微软雅黑" w:cs="微软雅黑"/>
        </w:rPr>
        <w:t>——</w:t>
      </w:r>
      <w:r>
        <w:rPr>
          <w:rFonts w:ascii="Times New Roman" w:hAnsi="Times New Roman"/>
        </w:rPr>
        <w:t>抽取样品瓶数；</w:t>
      </w:r>
    </w:p>
    <w:p w14:paraId="5F5A53BB">
      <w:pPr>
        <w:adjustRightInd/>
        <w:spacing w:line="240" w:lineRule="auto"/>
        <w:ind w:firstLine="420" w:firstLineChars="200"/>
        <w:rPr>
          <w:rFonts w:ascii="Times New Roman" w:hAnsi="Times New Roman"/>
        </w:rPr>
      </w:pPr>
      <w:r>
        <w:rPr>
          <w:rFonts w:ascii="Times New Roman" w:hAnsi="Times New Roman"/>
        </w:rPr>
        <w:t>N</w:t>
      </w:r>
      <w:r>
        <w:rPr>
          <w:rFonts w:hint="eastAsia" w:ascii="微软雅黑" w:hAnsi="微软雅黑" w:eastAsia="微软雅黑" w:cs="微软雅黑"/>
        </w:rPr>
        <w:t>——</w:t>
      </w:r>
      <w:r>
        <w:rPr>
          <w:rFonts w:ascii="Times New Roman" w:hAnsi="Times New Roman"/>
        </w:rPr>
        <w:t>所有测定数据的个数；</w:t>
      </w:r>
    </w:p>
    <w:p w14:paraId="274B280B">
      <w:pPr>
        <w:adjustRightInd/>
        <w:spacing w:line="240" w:lineRule="auto"/>
        <w:ind w:firstLine="420" w:firstLineChars="200"/>
        <w:rPr>
          <w:rFonts w:ascii="Times New Roman" w:hAnsi="Times New Roman"/>
        </w:rPr>
      </w:pPr>
      <m:oMath>
        <m:sSub>
          <m:sSubPr>
            <m:ctrlPr>
              <w:rPr>
                <w:rFonts w:ascii="Cambria Math" w:hAnsi="Cambria Math"/>
              </w:rPr>
            </m:ctrlPr>
          </m:sSubPr>
          <m:e>
            <m:r>
              <m:rPr/>
              <w:rPr>
                <w:rFonts w:ascii="Cambria Math" w:hAnsi="Cambria Math"/>
              </w:rPr>
              <m:t>n</m:t>
            </m:r>
            <m:ctrlPr>
              <w:rPr>
                <w:rFonts w:ascii="Cambria Math" w:hAnsi="Cambria Math"/>
              </w:rPr>
            </m:ctrlPr>
          </m:e>
          <m:sub>
            <m:r>
              <m:rPr>
                <m:sty m:val="p"/>
              </m:rPr>
              <w:rPr>
                <w:rFonts w:ascii="Cambria Math" w:hAnsi="Cambria Math"/>
              </w:rPr>
              <m:t>i</m:t>
            </m:r>
            <m:ctrlPr>
              <w:rPr>
                <w:rFonts w:ascii="Cambria Math" w:hAnsi="Cambria Math"/>
              </w:rPr>
            </m:ctrlPr>
          </m:sub>
        </m:sSub>
      </m:oMath>
      <w:r>
        <w:rPr>
          <w:rFonts w:hint="eastAsia" w:ascii="微软雅黑" w:hAnsi="微软雅黑" w:eastAsia="微软雅黑" w:cs="微软雅黑"/>
        </w:rPr>
        <w:t>——</w:t>
      </w:r>
      <w:r>
        <w:rPr>
          <w:rFonts w:ascii="Times New Roman" w:hAnsi="Times New Roman"/>
        </w:rPr>
        <w:t>i瓶测定数据的个数；</w:t>
      </w:r>
    </w:p>
    <w:p w14:paraId="094BF22F">
      <w:pPr>
        <w:adjustRightInd/>
        <w:spacing w:line="240" w:lineRule="auto"/>
        <w:ind w:firstLine="420" w:firstLineChars="200"/>
        <w:rPr>
          <w:rFonts w:ascii="Times New Roman" w:hAnsi="Times New Roman"/>
        </w:rPr>
      </w:pPr>
      <w:r>
        <w:rPr>
          <w:rFonts w:ascii="Times New Roman" w:hAnsi="Times New Roman"/>
          <w:position w:val="-12"/>
        </w:rPr>
        <w:object>
          <v:shape id="_x0000_i1039" o:spt="75" type="#_x0000_t75" style="height:21.8pt;width:14.2pt;" o:ole="t" filled="f" o:preferrelative="t" stroked="f" coordsize="21600,21600">
            <v:path/>
            <v:fill on="f" focussize="0,0"/>
            <v:stroke on="f" joinstyle="miter"/>
            <v:imagedata r:id="rId44" o:title=""/>
            <o:lock v:ext="edit" aspectratio="t"/>
            <w10:wrap type="none"/>
            <w10:anchorlock/>
          </v:shape>
          <o:OLEObject Type="Embed" ProgID="Equation.KSEE3" ShapeID="_x0000_i1039" DrawAspect="Content" ObjectID="_1468075739" r:id="rId43">
            <o:LockedField>false</o:LockedField>
          </o:OLEObject>
        </w:object>
      </w:r>
      <w:r>
        <w:rPr>
          <w:rFonts w:hint="eastAsia" w:ascii="微软雅黑" w:hAnsi="微软雅黑" w:eastAsia="微软雅黑" w:cs="微软雅黑"/>
        </w:rPr>
        <w:t>——</w:t>
      </w:r>
      <w:r>
        <w:rPr>
          <w:rFonts w:ascii="Times New Roman" w:hAnsi="Times New Roman"/>
        </w:rPr>
        <w:t>i瓶测定的平均值；</w:t>
      </w:r>
    </w:p>
    <w:p w14:paraId="4196B3CA">
      <w:pPr>
        <w:adjustRightInd/>
        <w:spacing w:line="240" w:lineRule="auto"/>
        <w:ind w:firstLine="420" w:firstLineChars="200"/>
        <w:rPr>
          <w:rFonts w:ascii="Times New Roman" w:hAnsi="Times New Roman"/>
          <w:iCs/>
        </w:rPr>
      </w:pPr>
      <w:r>
        <w:rPr>
          <w:rFonts w:ascii="Times New Roman" w:hAnsi="Times New Roman"/>
          <w:iCs/>
          <w:position w:val="-6"/>
        </w:rPr>
        <w:object>
          <v:shape id="_x0000_i1040" o:spt="75" type="#_x0000_t75" style="height:21.8pt;width:7.1pt;" o:ole="t" filled="f" o:preferrelative="t" stroked="f" coordsize="21600,21600">
            <v:path/>
            <v:fill on="f" focussize="0,0"/>
            <v:stroke on="f" joinstyle="miter"/>
            <v:imagedata r:id="rId46" o:title=""/>
            <o:lock v:ext="edit" aspectratio="t"/>
            <w10:wrap type="none"/>
            <w10:anchorlock/>
          </v:shape>
          <o:OLEObject Type="Embed" ProgID="Equation.KSEE3" ShapeID="_x0000_i1040" DrawAspect="Content" ObjectID="_1468075740" r:id="rId45">
            <o:LockedField>false</o:LockedField>
          </o:OLEObject>
        </w:object>
      </w:r>
      <w:r>
        <w:rPr>
          <w:rFonts w:hint="eastAsia" w:ascii="微软雅黑" w:hAnsi="微软雅黑" w:eastAsia="微软雅黑" w:cs="微软雅黑"/>
        </w:rPr>
        <w:t>——</w:t>
      </w:r>
      <w:r>
        <w:rPr>
          <w:rFonts w:ascii="Times New Roman" w:hAnsi="Times New Roman"/>
          <w:iCs/>
        </w:rPr>
        <w:t>所有测定数据的总平均值；</w:t>
      </w:r>
    </w:p>
    <w:p w14:paraId="4D7C277F">
      <w:pPr>
        <w:adjustRightInd/>
        <w:spacing w:line="240" w:lineRule="auto"/>
        <w:ind w:firstLine="420" w:firstLineChars="200"/>
      </w:pPr>
      <w:r>
        <w:rPr>
          <w:rFonts w:ascii="Times New Roman" w:hAnsi="Times New Roman"/>
          <w:position w:val="-14"/>
        </w:rPr>
        <w:object>
          <v:shape id="_x0000_i1041" o:spt="75" type="#_x0000_t75" style="height:21.8pt;width:14.2pt;" o:ole="t" filled="f" o:preferrelative="t" stroked="f" coordsize="21600,21600">
            <v:path/>
            <v:fill on="f" focussize="0,0"/>
            <v:stroke on="f" joinstyle="miter"/>
            <v:imagedata r:id="rId48" o:title=""/>
            <o:lock v:ext="edit" aspectratio="t"/>
            <w10:wrap type="none"/>
            <w10:anchorlock/>
          </v:shape>
          <o:OLEObject Type="Embed" ProgID="Equation.KSEE3" ShapeID="_x0000_i1041" DrawAspect="Content" ObjectID="_1468075741" r:id="rId47">
            <o:LockedField>false</o:LockedField>
          </o:OLEObject>
        </w:object>
      </w:r>
      <w:r>
        <w:rPr>
          <w:rFonts w:hint="eastAsia" w:ascii="微软雅黑" w:hAnsi="微软雅黑" w:eastAsia="微软雅黑" w:cs="微软雅黑"/>
        </w:rPr>
        <w:t>——</w:t>
      </w:r>
      <w:r>
        <w:rPr>
          <w:rFonts w:ascii="Times New Roman" w:hAnsi="Times New Roman"/>
        </w:rPr>
        <w:t>i瓶第j个测定数据</w:t>
      </w:r>
      <w:r>
        <w:rPr>
          <w:rFonts w:hint="eastAsia" w:ascii="Times New Roman" w:hAnsi="Times New Roman"/>
        </w:rPr>
        <w:t>；</w:t>
      </w:r>
    </w:p>
    <w:p w14:paraId="2F04082F">
      <w:pPr>
        <w:adjustRightInd/>
        <w:spacing w:line="240" w:lineRule="auto"/>
        <w:ind w:firstLine="420" w:firstLineChars="200"/>
        <w:rPr>
          <w:rFonts w:ascii="Times New Roman" w:hAnsi="Times New Roman"/>
          <w:color w:val="000000"/>
        </w:rPr>
      </w:pPr>
      <w:r>
        <w:rPr>
          <w:rFonts w:ascii="Times New Roman" w:hAnsi="Times New Roman"/>
          <w:color w:val="000000"/>
        </w:rPr>
        <w:t>当统计量</w:t>
      </w:r>
      <w:r>
        <w:rPr>
          <w:rFonts w:ascii="Times New Roman" w:hAnsi="Times New Roman"/>
          <w:i/>
          <w:iCs/>
          <w:color w:val="000000"/>
        </w:rPr>
        <w:t>F</w:t>
      </w:r>
      <w:r>
        <w:rPr>
          <w:rFonts w:ascii="Times New Roman" w:hAnsi="Times New Roman"/>
          <w:color w:val="000000"/>
        </w:rPr>
        <w:t>&lt;</w:t>
      </w:r>
      <w:r>
        <w:rPr>
          <w:rFonts w:ascii="Times New Roman" w:hAnsi="Times New Roman"/>
          <w:i/>
          <w:color w:val="000000"/>
        </w:rPr>
        <w:t>F</w:t>
      </w:r>
      <w:r>
        <w:rPr>
          <w:rFonts w:ascii="Times New Roman" w:hAnsi="Times New Roman"/>
          <w:color w:val="000000"/>
          <w:vertAlign w:val="subscript"/>
        </w:rPr>
        <w:t>0.05</w:t>
      </w:r>
      <w:r>
        <w:rPr>
          <w:rFonts w:ascii="Times New Roman" w:hAnsi="Times New Roman"/>
          <w:color w:val="000000"/>
        </w:rPr>
        <w:t>（</w:t>
      </w:r>
      <w:r>
        <w:rPr>
          <w:rFonts w:hint="eastAsia" w:ascii="Times New Roman" w:hAnsi="Times New Roman"/>
          <w:i/>
          <w:iCs/>
          <w:color w:val="000000"/>
        </w:rPr>
        <w:t>v</w:t>
      </w:r>
      <w:r>
        <w:rPr>
          <w:rFonts w:hint="eastAsia" w:ascii="Times New Roman" w:hAnsi="Times New Roman"/>
          <w:color w:val="000000"/>
          <w:vertAlign w:val="subscript"/>
        </w:rPr>
        <w:t>1</w:t>
      </w:r>
      <w:r>
        <w:rPr>
          <w:rFonts w:hint="eastAsia" w:ascii="Times New Roman" w:hAnsi="Times New Roman"/>
          <w:color w:val="000000"/>
        </w:rPr>
        <w:t>，</w:t>
      </w:r>
      <w:r>
        <w:rPr>
          <w:rFonts w:hint="eastAsia" w:ascii="Times New Roman" w:hAnsi="Times New Roman"/>
          <w:i/>
          <w:iCs/>
          <w:color w:val="000000"/>
        </w:rPr>
        <w:t>v</w:t>
      </w:r>
      <w:r>
        <w:rPr>
          <w:rFonts w:hint="eastAsia" w:ascii="Times New Roman" w:hAnsi="Times New Roman"/>
          <w:color w:val="000000"/>
          <w:vertAlign w:val="subscript"/>
        </w:rPr>
        <w:t>2</w:t>
      </w:r>
      <w:r>
        <w:rPr>
          <w:rFonts w:ascii="Times New Roman" w:hAnsi="Times New Roman"/>
          <w:color w:val="000000"/>
        </w:rPr>
        <w:t>），则认为样品是均匀的；</w:t>
      </w:r>
    </w:p>
    <w:p w14:paraId="48BAACC5">
      <w:pPr>
        <w:adjustRightInd/>
        <w:spacing w:line="240" w:lineRule="auto"/>
        <w:ind w:firstLine="420" w:firstLineChars="200"/>
        <w:rPr>
          <w:rFonts w:ascii="Times New Roman" w:hAnsi="Times New Roman"/>
        </w:rPr>
      </w:pPr>
      <w:r>
        <w:rPr>
          <w:rFonts w:ascii="Times New Roman" w:hAnsi="Times New Roman"/>
          <w:color w:val="000000"/>
        </w:rPr>
        <w:t>当统计量</w:t>
      </w:r>
      <w:r>
        <w:rPr>
          <w:rFonts w:ascii="Times New Roman" w:hAnsi="Times New Roman"/>
          <w:i/>
          <w:iCs/>
          <w:color w:val="000000"/>
        </w:rPr>
        <w:t>F</w:t>
      </w:r>
      <w:r>
        <w:rPr>
          <w:rFonts w:ascii="Times New Roman" w:hAnsi="Times New Roman"/>
          <w:color w:val="000000"/>
        </w:rPr>
        <w:t>&gt;</w:t>
      </w:r>
      <w:r>
        <w:rPr>
          <w:rFonts w:ascii="Times New Roman" w:hAnsi="Times New Roman"/>
          <w:i/>
          <w:color w:val="000000"/>
        </w:rPr>
        <w:t>F</w:t>
      </w:r>
      <w:r>
        <w:rPr>
          <w:rFonts w:ascii="Times New Roman" w:hAnsi="Times New Roman"/>
          <w:color w:val="000000"/>
          <w:vertAlign w:val="subscript"/>
        </w:rPr>
        <w:t>0.05</w:t>
      </w:r>
      <w:r>
        <w:rPr>
          <w:rFonts w:ascii="Times New Roman" w:hAnsi="Times New Roman"/>
          <w:color w:val="000000"/>
        </w:rPr>
        <w:t>（</w:t>
      </w:r>
      <w:r>
        <w:rPr>
          <w:rFonts w:hint="eastAsia" w:ascii="Times New Roman" w:hAnsi="Times New Roman"/>
          <w:i/>
          <w:iCs/>
          <w:color w:val="000000"/>
        </w:rPr>
        <w:t>v</w:t>
      </w:r>
      <w:r>
        <w:rPr>
          <w:rFonts w:hint="eastAsia" w:ascii="Times New Roman" w:hAnsi="Times New Roman"/>
          <w:color w:val="000000"/>
          <w:vertAlign w:val="subscript"/>
        </w:rPr>
        <w:t>1</w:t>
      </w:r>
      <w:r>
        <w:rPr>
          <w:rFonts w:hint="eastAsia" w:ascii="Times New Roman" w:hAnsi="Times New Roman"/>
          <w:color w:val="000000"/>
        </w:rPr>
        <w:t>，</w:t>
      </w:r>
      <w:r>
        <w:rPr>
          <w:rFonts w:hint="eastAsia" w:ascii="Times New Roman" w:hAnsi="Times New Roman"/>
          <w:i/>
          <w:iCs/>
          <w:color w:val="000000"/>
        </w:rPr>
        <w:t>v</w:t>
      </w:r>
      <w:r>
        <w:rPr>
          <w:rFonts w:hint="eastAsia" w:ascii="Times New Roman" w:hAnsi="Times New Roman"/>
          <w:color w:val="000000"/>
          <w:vertAlign w:val="subscript"/>
        </w:rPr>
        <w:t>2</w:t>
      </w:r>
      <w:r>
        <w:rPr>
          <w:rFonts w:ascii="Times New Roman" w:hAnsi="Times New Roman"/>
          <w:color w:val="000000"/>
        </w:rPr>
        <w:t>），则认为样品是不均匀的；</w:t>
      </w:r>
    </w:p>
    <w:p w14:paraId="3C82D629">
      <w:pPr>
        <w:adjustRightInd/>
        <w:spacing w:line="240" w:lineRule="auto"/>
        <w:ind w:firstLine="420" w:firstLineChars="200"/>
        <w:rPr>
          <w:color w:val="000000"/>
        </w:rPr>
      </w:pPr>
      <w:r>
        <w:rPr>
          <w:rFonts w:ascii="Times New Roman" w:hAnsi="Times New Roman"/>
          <w:color w:val="000000"/>
        </w:rPr>
        <w:t>当统计量</w:t>
      </w:r>
      <w:r>
        <w:rPr>
          <w:rFonts w:ascii="Times New Roman" w:hAnsi="Times New Roman"/>
          <w:i/>
          <w:iCs/>
          <w:color w:val="000000"/>
        </w:rPr>
        <w:t>F</w:t>
      </w:r>
      <w:r>
        <w:rPr>
          <w:rFonts w:ascii="Times New Roman" w:hAnsi="Times New Roman"/>
          <w:color w:val="000000"/>
        </w:rPr>
        <w:t>≈</w:t>
      </w:r>
      <w:r>
        <w:rPr>
          <w:rFonts w:ascii="Times New Roman" w:hAnsi="Times New Roman"/>
          <w:i/>
          <w:color w:val="000000"/>
        </w:rPr>
        <w:t>F</w:t>
      </w:r>
      <w:r>
        <w:rPr>
          <w:rFonts w:ascii="Times New Roman" w:hAnsi="Times New Roman"/>
          <w:color w:val="000000"/>
          <w:vertAlign w:val="subscript"/>
        </w:rPr>
        <w:t>0.05</w:t>
      </w:r>
      <w:r>
        <w:rPr>
          <w:rFonts w:ascii="Times New Roman" w:hAnsi="Times New Roman"/>
          <w:color w:val="000000"/>
        </w:rPr>
        <w:t>（</w:t>
      </w:r>
      <w:r>
        <w:rPr>
          <w:rFonts w:hint="eastAsia" w:ascii="Times New Roman" w:hAnsi="Times New Roman"/>
          <w:i/>
          <w:iCs/>
          <w:color w:val="000000"/>
        </w:rPr>
        <w:t>v</w:t>
      </w:r>
      <w:r>
        <w:rPr>
          <w:rFonts w:hint="eastAsia" w:ascii="Times New Roman" w:hAnsi="Times New Roman"/>
          <w:color w:val="000000"/>
          <w:vertAlign w:val="subscript"/>
        </w:rPr>
        <w:t>1</w:t>
      </w:r>
      <w:r>
        <w:rPr>
          <w:rFonts w:hint="eastAsia" w:ascii="Times New Roman" w:hAnsi="Times New Roman"/>
          <w:color w:val="000000"/>
        </w:rPr>
        <w:t>，</w:t>
      </w:r>
      <w:r>
        <w:rPr>
          <w:rFonts w:hint="eastAsia" w:ascii="Times New Roman" w:hAnsi="Times New Roman"/>
          <w:i/>
          <w:iCs/>
          <w:color w:val="000000"/>
        </w:rPr>
        <w:t>v</w:t>
      </w:r>
      <w:r>
        <w:rPr>
          <w:rFonts w:hint="eastAsia" w:ascii="Times New Roman" w:hAnsi="Times New Roman"/>
          <w:color w:val="000000"/>
          <w:vertAlign w:val="subscript"/>
        </w:rPr>
        <w:t>2</w:t>
      </w:r>
      <w:r>
        <w:rPr>
          <w:rFonts w:ascii="Times New Roman" w:hAnsi="Times New Roman"/>
          <w:color w:val="000000"/>
        </w:rPr>
        <w:t>），则实物标样总的不确定度必须把均匀性因素考虑进去。</w:t>
      </w:r>
    </w:p>
    <w:p w14:paraId="025EBF83">
      <w:pPr>
        <w:pStyle w:val="109"/>
        <w:numPr>
          <w:ilvl w:val="1"/>
          <w:numId w:val="33"/>
        </w:numPr>
        <w:spacing w:before="312" w:after="312"/>
      </w:pPr>
      <w:bookmarkStart w:id="42" w:name="_Toc5270"/>
      <w:r>
        <w:rPr>
          <w:rFonts w:hint="eastAsia"/>
        </w:rPr>
        <w:t>稳定性评估</w:t>
      </w:r>
      <w:bookmarkEnd w:id="42"/>
    </w:p>
    <w:p w14:paraId="0FFED671">
      <w:pPr>
        <w:pStyle w:val="61"/>
        <w:ind w:firstLine="420"/>
      </w:pPr>
      <w:r>
        <w:rPr>
          <w:rFonts w:hint="eastAsia"/>
        </w:rPr>
        <w:t>实物标样特性值的稳定性是其关键特征之一，应确保其特性值在使用时与该样品证书中陈述的特性值一致。稳定性包括长期稳定性、运输或其他短期稳定性。</w:t>
      </w:r>
    </w:p>
    <w:p w14:paraId="3E7579C5">
      <w:pPr>
        <w:pStyle w:val="110"/>
        <w:numPr>
          <w:ilvl w:val="2"/>
          <w:numId w:val="33"/>
        </w:numPr>
        <w:spacing w:before="156" w:after="156"/>
      </w:pPr>
      <w:r>
        <w:rPr>
          <w:rFonts w:hint="eastAsia"/>
        </w:rPr>
        <w:t>监测时间点选择</w:t>
      </w:r>
    </w:p>
    <w:p w14:paraId="3BCD4528">
      <w:pPr>
        <w:pStyle w:val="61"/>
        <w:ind w:firstLine="420"/>
      </w:pPr>
      <w:r>
        <w:rPr>
          <w:rFonts w:hint="eastAsia"/>
        </w:rPr>
        <w:t xml:space="preserve">在目标有效期间内应有多个时间间隔的监测数据，一般监测点数不少于5个。 </w:t>
      </w:r>
    </w:p>
    <w:p w14:paraId="4CE2F5BC">
      <w:pPr>
        <w:pStyle w:val="110"/>
        <w:numPr>
          <w:ilvl w:val="2"/>
          <w:numId w:val="33"/>
        </w:numPr>
        <w:spacing w:before="156" w:after="156"/>
      </w:pPr>
      <w:r>
        <w:rPr>
          <w:rFonts w:hint="eastAsia"/>
        </w:rPr>
        <w:t>统计原则</w:t>
      </w:r>
    </w:p>
    <w:p w14:paraId="39F9FDD8">
      <w:pPr>
        <w:pStyle w:val="70"/>
        <w:numPr>
          <w:ilvl w:val="255"/>
          <w:numId w:val="0"/>
        </w:numPr>
        <w:spacing w:before="0" w:beforeLines="0" w:after="0" w:afterLines="0"/>
        <w:ind w:firstLine="420" w:firstLineChars="200"/>
        <w:rPr>
          <w:rFonts w:ascii="宋体" w:hAnsi="宋体" w:eastAsia="宋体"/>
        </w:rPr>
      </w:pPr>
      <w:r>
        <w:rPr>
          <w:rFonts w:hint="eastAsia" w:ascii="宋体" w:hAnsi="宋体" w:eastAsia="宋体"/>
        </w:rPr>
        <w:t>实物标样稳定性研究根据测量条件（即检测时的环境与操作条件）主要分为‌经典稳定性研究方法和同步稳定性研究方法。</w:t>
      </w:r>
    </w:p>
    <w:p w14:paraId="3A84DE24">
      <w:pPr>
        <w:pStyle w:val="110"/>
        <w:numPr>
          <w:ilvl w:val="2"/>
          <w:numId w:val="33"/>
        </w:numPr>
        <w:spacing w:before="156" w:after="156"/>
      </w:pPr>
      <w:r>
        <w:rPr>
          <w:rFonts w:hint="eastAsia"/>
        </w:rPr>
        <w:t>统计方法</w:t>
      </w:r>
    </w:p>
    <w:p w14:paraId="164AE585">
      <w:pPr>
        <w:pStyle w:val="61"/>
        <w:ind w:firstLine="420"/>
      </w:pPr>
      <w:r>
        <w:rPr>
          <w:rFonts w:hint="eastAsia"/>
        </w:rPr>
        <w:t>稳定性统计检验公式如下所示：</w:t>
      </w:r>
    </w:p>
    <w:p w14:paraId="5253DC02">
      <w:pPr>
        <w:pStyle w:val="61"/>
        <w:ind w:firstLine="420"/>
      </w:pPr>
      <w:r>
        <w:rPr>
          <w:rFonts w:hint="eastAsia"/>
        </w:rPr>
        <w:t>斜率可用下式计算：</w:t>
      </w:r>
    </w:p>
    <w:p w14:paraId="762C1782">
      <w:pPr>
        <w:pStyle w:val="61"/>
        <w:tabs>
          <w:tab w:val="center" w:pos="4095"/>
          <w:tab w:val="right" w:leader="middleDot" w:pos="8190"/>
        </w:tabs>
        <w:ind w:firstLine="480"/>
        <w:jc w:val="center"/>
        <w:textAlignment w:val="center"/>
      </w:pPr>
      <w:r>
        <w:rPr>
          <w:rFonts w:hint="eastAsia" w:ascii="Times New Roman"/>
          <w:bCs/>
          <w:position w:val="-50"/>
          <w:sz w:val="24"/>
          <w:szCs w:val="24"/>
        </w:rPr>
        <w:tab/>
      </w:r>
      <w:r>
        <w:rPr>
          <w:rFonts w:ascii="Times New Roman"/>
          <w:bCs/>
          <w:position w:val="-50"/>
          <w:sz w:val="24"/>
          <w:szCs w:val="24"/>
        </w:rPr>
        <w:object>
          <v:shape id="_x0000_i1042" o:spt="75" type="#_x0000_t75" style="height:50.2pt;width:115.1pt;" o:ole="t" filled="f" o:preferrelative="t" stroked="f" coordsize="21600,21600">
            <v:path/>
            <v:fill on="f" focussize="0,0"/>
            <v:stroke on="f" joinstyle="miter"/>
            <v:imagedata r:id="rId50" o:title=""/>
            <o:lock v:ext="edit" aspectratio="t"/>
            <w10:wrap type="none"/>
            <w10:anchorlock/>
          </v:shape>
          <o:OLEObject Type="Embed" ProgID="Equation.3" ShapeID="_x0000_i1042" DrawAspect="Content" ObjectID="_1468075742" r:id="rId49">
            <o:LockedField>false</o:LockedField>
          </o:OLEObject>
        </w:object>
      </w:r>
      <w:r>
        <w:rPr>
          <w:rFonts w:ascii="Times New Roman"/>
          <w:bCs/>
          <w:position w:val="-50"/>
          <w:szCs w:val="21"/>
        </w:rPr>
        <w:tab/>
      </w:r>
      <w:r>
        <w:rPr>
          <w:rFonts w:ascii="Times New Roman"/>
          <w:bCs/>
          <w:position w:val="-50"/>
          <w:szCs w:val="21"/>
        </w:rPr>
        <w:t>（13）</w:t>
      </w:r>
    </w:p>
    <w:p w14:paraId="148ECDD1">
      <w:pPr>
        <w:pStyle w:val="61"/>
        <w:ind w:firstLine="420"/>
      </w:pPr>
      <w:r>
        <w:rPr>
          <w:rFonts w:hint="eastAsia"/>
        </w:rPr>
        <w:t>截距可用下式计算：</w:t>
      </w:r>
    </w:p>
    <w:p w14:paraId="457A7A81">
      <w:pPr>
        <w:pStyle w:val="238"/>
        <w:tabs>
          <w:tab w:val="center" w:pos="4095"/>
          <w:tab w:val="right" w:leader="middleDot" w:pos="8190"/>
        </w:tabs>
        <w:spacing w:line="240" w:lineRule="auto"/>
        <w:ind w:firstLine="480"/>
        <w:jc w:val="center"/>
        <w:textAlignment w:val="center"/>
        <w:rPr>
          <w:rFonts w:ascii="Times New Roman" w:hAnsi="Times New Roman"/>
          <w:bCs/>
          <w:sz w:val="24"/>
          <w:szCs w:val="24"/>
        </w:rPr>
      </w:pPr>
      <w:r>
        <w:rPr>
          <w:rFonts w:hint="eastAsia" w:ascii="Times New Roman" w:hAnsi="Times New Roman"/>
          <w:bCs/>
          <w:position w:val="-12"/>
          <w:sz w:val="24"/>
          <w:szCs w:val="24"/>
        </w:rPr>
        <w:tab/>
      </w:r>
      <w:r>
        <w:rPr>
          <w:rFonts w:ascii="Times New Roman" w:hAnsi="Times New Roman"/>
          <w:bCs/>
          <w:position w:val="-12"/>
          <w:sz w:val="24"/>
          <w:szCs w:val="24"/>
        </w:rPr>
        <w:object>
          <v:shape id="_x0000_i1043" o:spt="75" type="#_x0000_t75" style="height:21.8pt;width:57.8pt;" o:ole="t" filled="f" o:preferrelative="t" stroked="f" coordsize="21600,21600">
            <v:path/>
            <v:fill on="f" focussize="0,0"/>
            <v:stroke on="f" joinstyle="miter"/>
            <v:imagedata r:id="rId52" o:title=""/>
            <o:lock v:ext="edit" aspectratio="t"/>
            <w10:wrap type="none"/>
            <w10:anchorlock/>
          </v:shape>
          <o:OLEObject Type="Embed" ProgID="Equation.3" ShapeID="_x0000_i1043" DrawAspect="Content" ObjectID="_1468075743" r:id="rId51">
            <o:LockedField>false</o:LockedField>
          </o:OLEObject>
        </w:object>
      </w:r>
      <w:r>
        <w:rPr>
          <w:rFonts w:ascii="Times New Roman" w:hAnsi="Times New Roman"/>
          <w:bCs/>
          <w:position w:val="-12"/>
          <w:szCs w:val="21"/>
        </w:rPr>
        <w:tab/>
      </w:r>
      <w:r>
        <w:rPr>
          <w:rFonts w:ascii="Times New Roman" w:hAnsi="Times New Roman"/>
          <w:bCs/>
          <w:position w:val="-12"/>
          <w:szCs w:val="21"/>
        </w:rPr>
        <w:t>（14）</w:t>
      </w:r>
    </w:p>
    <w:p w14:paraId="06BA8DD2">
      <w:pPr>
        <w:pStyle w:val="61"/>
        <w:ind w:firstLine="420"/>
      </w:pPr>
      <w:r>
        <w:rPr>
          <w:rFonts w:hint="eastAsia"/>
        </w:rPr>
        <w:t>直线上每点的方差可用下式计算：</w:t>
      </w:r>
    </w:p>
    <w:p w14:paraId="3DDF546E">
      <w:pPr>
        <w:pStyle w:val="238"/>
        <w:tabs>
          <w:tab w:val="center" w:pos="4095"/>
          <w:tab w:val="right" w:leader="middleDot" w:pos="8190"/>
        </w:tabs>
        <w:spacing w:line="240" w:lineRule="auto"/>
        <w:ind w:firstLine="480"/>
        <w:jc w:val="center"/>
        <w:textAlignment w:val="center"/>
        <w:rPr>
          <w:rFonts w:ascii="Times New Roman" w:hAnsi="Times New Roman"/>
          <w:bCs/>
          <w:sz w:val="24"/>
          <w:szCs w:val="24"/>
        </w:rPr>
      </w:pPr>
      <w:r>
        <w:rPr>
          <w:rFonts w:hint="eastAsia" w:ascii="Times New Roman" w:hAnsi="Times New Roman"/>
          <w:bCs/>
          <w:position w:val="-24"/>
          <w:sz w:val="24"/>
          <w:szCs w:val="24"/>
        </w:rPr>
        <w:tab/>
      </w:r>
      <w:r>
        <w:rPr>
          <w:rFonts w:ascii="Times New Roman" w:hAnsi="Times New Roman"/>
          <w:bCs/>
          <w:position w:val="-24"/>
          <w:sz w:val="24"/>
          <w:szCs w:val="24"/>
        </w:rPr>
        <w:object>
          <v:shape id="_x0000_i1044" o:spt="75" type="#_x0000_t75" style="height:36pt;width:122.2pt;" o:ole="t" filled="f" o:preferrelative="t" stroked="f" coordsize="21600,21600">
            <v:path/>
            <v:fill on="f" focussize="0,0"/>
            <v:stroke on="f" joinstyle="miter"/>
            <v:imagedata r:id="rId54" o:title=""/>
            <o:lock v:ext="edit" aspectratio="t"/>
            <w10:wrap type="none"/>
            <w10:anchorlock/>
          </v:shape>
          <o:OLEObject Type="Embed" ProgID="Equation.3" ShapeID="_x0000_i1044" DrawAspect="Content" ObjectID="_1468075744" r:id="rId53">
            <o:LockedField>false</o:LockedField>
          </o:OLEObject>
        </w:object>
      </w:r>
      <w:r>
        <w:rPr>
          <w:rFonts w:ascii="Times New Roman" w:hAnsi="Times New Roman"/>
          <w:bCs/>
          <w:position w:val="-24"/>
          <w:szCs w:val="21"/>
        </w:rPr>
        <w:tab/>
      </w:r>
      <w:r>
        <w:rPr>
          <w:rFonts w:ascii="Times New Roman" w:hAnsi="Times New Roman"/>
          <w:bCs/>
          <w:position w:val="-24"/>
          <w:szCs w:val="21"/>
        </w:rPr>
        <w:t>（15）</w:t>
      </w:r>
    </w:p>
    <w:p w14:paraId="3BB6E112">
      <w:pPr>
        <w:pStyle w:val="61"/>
        <w:ind w:firstLine="420"/>
      </w:pPr>
      <w:r>
        <w:rPr>
          <w:rFonts w:hint="eastAsia"/>
        </w:rPr>
        <w:t>斜率的标准误差可用下式计算：</w:t>
      </w:r>
    </w:p>
    <w:p w14:paraId="71E53299">
      <w:pPr>
        <w:pStyle w:val="238"/>
        <w:tabs>
          <w:tab w:val="center" w:pos="4095"/>
          <w:tab w:val="right" w:leader="middleDot" w:pos="8190"/>
        </w:tabs>
        <w:spacing w:line="240" w:lineRule="auto"/>
        <w:ind w:firstLine="480"/>
        <w:jc w:val="center"/>
        <w:textAlignment w:val="center"/>
        <w:rPr>
          <w:rFonts w:ascii="Times New Roman" w:hAnsi="Times New Roman"/>
          <w:bCs/>
          <w:position w:val="-46"/>
          <w:szCs w:val="21"/>
        </w:rPr>
      </w:pPr>
      <w:r>
        <w:rPr>
          <w:rFonts w:hint="eastAsia" w:ascii="Times New Roman" w:hAnsi="Times New Roman"/>
          <w:bCs/>
          <w:position w:val="-46"/>
          <w:sz w:val="24"/>
          <w:szCs w:val="24"/>
        </w:rPr>
        <w:tab/>
      </w:r>
      <w:r>
        <w:rPr>
          <w:rFonts w:ascii="Times New Roman" w:hAnsi="Times New Roman"/>
          <w:bCs/>
          <w:position w:val="-46"/>
          <w:sz w:val="24"/>
          <w:szCs w:val="24"/>
        </w:rPr>
        <w:object>
          <v:shape id="_x0000_i1045" o:spt="75" type="#_x0000_t75" style="height:43.1pt;width:108pt;" o:ole="t" filled="f" o:preferrelative="t" stroked="f" coordsize="21600,21600">
            <v:path/>
            <v:fill on="f" focussize="0,0"/>
            <v:stroke on="f" joinstyle="miter"/>
            <v:imagedata r:id="rId56" o:title=""/>
            <o:lock v:ext="edit" aspectratio="t"/>
            <w10:wrap type="none"/>
            <w10:anchorlock/>
          </v:shape>
          <o:OLEObject Type="Embed" ProgID="Equation.3" ShapeID="_x0000_i1045" DrawAspect="Content" ObjectID="_1468075745" r:id="rId55">
            <o:LockedField>false</o:LockedField>
          </o:OLEObject>
        </w:object>
      </w:r>
      <w:r>
        <w:rPr>
          <w:rFonts w:ascii="Times New Roman" w:hAnsi="Times New Roman"/>
          <w:bCs/>
          <w:position w:val="-46"/>
          <w:szCs w:val="21"/>
        </w:rPr>
        <w:tab/>
      </w:r>
      <w:r>
        <w:rPr>
          <w:rFonts w:ascii="Times New Roman" w:hAnsi="Times New Roman"/>
          <w:bCs/>
          <w:position w:val="-46"/>
          <w:szCs w:val="21"/>
        </w:rPr>
        <w:t>（16）</w:t>
      </w:r>
    </w:p>
    <w:p w14:paraId="1AE6FE08">
      <w:pPr>
        <w:adjustRightInd/>
        <w:spacing w:line="360" w:lineRule="auto"/>
        <w:rPr>
          <w:rFonts w:ascii="Times New Roman" w:hAnsi="Times New Roman"/>
        </w:rPr>
      </w:pPr>
      <w:r>
        <w:rPr>
          <w:rFonts w:ascii="Times New Roman" w:hAnsi="Times New Roman"/>
        </w:rPr>
        <w:t>式中：</w:t>
      </w:r>
    </w:p>
    <w:p w14:paraId="4033589D">
      <w:pPr>
        <w:adjustRightInd/>
        <w:spacing w:line="240" w:lineRule="auto"/>
        <w:ind w:firstLine="420" w:firstLineChars="200"/>
        <w:rPr>
          <w:rFonts w:ascii="Times New Roman" w:hAnsi="Times New Roman" w:eastAsia="微软雅黑"/>
        </w:rPr>
      </w:pPr>
      <w:r>
        <w:rPr>
          <w:rFonts w:ascii="Times New Roman" w:hAnsi="Times New Roman" w:eastAsia="微软雅黑" w:cs="Times New Roman"/>
        </w:rPr>
        <w:t>n</w:t>
      </w:r>
      <w:r>
        <w:rPr>
          <w:rFonts w:hint="eastAsia" w:ascii="微软雅黑" w:hAnsi="微软雅黑" w:eastAsia="微软雅黑" w:cs="微软雅黑"/>
        </w:rPr>
        <w:t>——</w:t>
      </w:r>
      <w:r>
        <w:rPr>
          <w:rFonts w:hint="eastAsia" w:ascii="Times New Roman" w:hAnsi="Times New Roman" w:eastAsia="宋体" w:cs="Times New Roman"/>
        </w:rPr>
        <w:t>实物标样稳定性监测的总次数</w:t>
      </w:r>
      <w:r>
        <w:rPr>
          <w:rFonts w:hint="eastAsia" w:ascii="Times New Roman" w:hAnsi="Times New Roman"/>
        </w:rPr>
        <w:t>；</w:t>
      </w:r>
    </w:p>
    <w:p w14:paraId="3B3D8CD5">
      <w:pPr>
        <w:adjustRightInd/>
        <w:spacing w:line="240" w:lineRule="auto"/>
        <w:ind w:firstLine="420" w:firstLineChars="200"/>
        <w:rPr>
          <w:rFonts w:ascii="Times New Roman" w:hAnsi="Times New Roman"/>
        </w:rPr>
      </w:pPr>
      <w:r>
        <w:rPr>
          <w:rFonts w:ascii="Times New Roman" w:hAnsi="Times New Roman" w:eastAsia="微软雅黑" w:cs="Times New Roman"/>
        </w:rPr>
        <w:t>i</w:t>
      </w:r>
      <w:r>
        <w:rPr>
          <w:rFonts w:hint="eastAsia" w:ascii="微软雅黑" w:hAnsi="微软雅黑" w:eastAsia="微软雅黑" w:cs="微软雅黑"/>
        </w:rPr>
        <w:t>——</w:t>
      </w:r>
      <w:r>
        <w:rPr>
          <w:rFonts w:hint="eastAsia" w:ascii="Times New Roman" w:hAnsi="Times New Roman" w:eastAsia="宋体" w:cs="Times New Roman"/>
        </w:rPr>
        <w:t>监测点的序号</w:t>
      </w:r>
      <w:r>
        <w:rPr>
          <w:rFonts w:ascii="Times New Roman" w:hAnsi="Times New Roman"/>
        </w:rPr>
        <w:t>；</w:t>
      </w:r>
    </w:p>
    <w:p w14:paraId="00E4E146">
      <w:pPr>
        <w:adjustRightInd/>
        <w:spacing w:line="240" w:lineRule="auto"/>
        <w:ind w:firstLine="420" w:firstLineChars="200"/>
        <w:rPr>
          <w:rFonts w:ascii="Times New Roman" w:hAnsi="Times New Roman"/>
        </w:rPr>
      </w:pPr>
      <w:r>
        <w:rPr>
          <w:rFonts w:ascii="Times New Roman" w:hAnsi="Times New Roman"/>
          <w:position w:val="-12"/>
        </w:rPr>
        <w:object>
          <v:shape id="_x0000_i1046" o:spt="75" type="#_x0000_t75" style="height:19.9pt;width:12.8pt;" o:ole="t" filled="f" o:preferrelative="t" stroked="f" coordsize="21600,21600">
            <v:path/>
            <v:fill on="f" focussize="0,0"/>
            <v:stroke on="f" joinstyle="miter"/>
            <v:imagedata r:id="rId58" o:title=""/>
            <o:lock v:ext="edit" aspectratio="t"/>
            <w10:wrap type="none"/>
            <w10:anchorlock/>
          </v:shape>
          <o:OLEObject Type="Embed" ProgID="Equation.KSEE3" ShapeID="_x0000_i1046" DrawAspect="Content" ObjectID="_1468075746" r:id="rId57">
            <o:LockedField>false</o:LockedField>
          </o:OLEObject>
        </w:object>
      </w:r>
      <w:r>
        <w:rPr>
          <w:rFonts w:hint="eastAsia" w:ascii="微软雅黑" w:hAnsi="微软雅黑" w:eastAsia="微软雅黑" w:cs="微软雅黑"/>
        </w:rPr>
        <w:t>——</w:t>
      </w:r>
      <w:r>
        <w:rPr>
          <w:rFonts w:hint="eastAsia" w:ascii="Times New Roman" w:hAnsi="Times New Roman" w:eastAsia="宋体" w:cs="Times New Roman"/>
        </w:rPr>
        <w:t>第</w:t>
      </w:r>
      <w:r>
        <w:rPr>
          <w:rFonts w:ascii="Times New Roman" w:hAnsi="Times New Roman" w:eastAsia="宋体" w:cs="Times New Roman"/>
        </w:rPr>
        <w:t>i次稳定性监测对应的时间变量</w:t>
      </w:r>
      <w:r>
        <w:rPr>
          <w:rFonts w:ascii="Times New Roman" w:hAnsi="Times New Roman"/>
        </w:rPr>
        <w:t>；</w:t>
      </w:r>
    </w:p>
    <w:p w14:paraId="7F7616B7">
      <w:pPr>
        <w:adjustRightInd/>
        <w:spacing w:line="240" w:lineRule="auto"/>
        <w:ind w:firstLine="420" w:firstLineChars="200"/>
        <w:rPr>
          <w:rFonts w:ascii="Times New Roman" w:hAnsi="Times New Roman"/>
        </w:rPr>
      </w:pPr>
      <w:r>
        <w:rPr>
          <w:rFonts w:ascii="Times New Roman" w:hAnsi="Times New Roman"/>
          <w:position w:val="-6"/>
        </w:rPr>
        <w:object>
          <v:shape id="_x0000_i1047" o:spt="75" type="#_x0000_t75" style="height:18.95pt;width:10.9pt;" o:ole="t" filled="f" o:preferrelative="t" stroked="f" coordsize="21600,21600">
            <v:path/>
            <v:fill on="f" focussize="0,0"/>
            <v:stroke on="f" joinstyle="miter"/>
            <v:imagedata r:id="rId60" o:title=""/>
            <o:lock v:ext="edit" aspectratio="t"/>
            <w10:wrap type="none"/>
            <w10:anchorlock/>
          </v:shape>
          <o:OLEObject Type="Embed" ProgID="Equation.KSEE3" ShapeID="_x0000_i1047" DrawAspect="Content" ObjectID="_1468075747" r:id="rId59">
            <o:LockedField>false</o:LockedField>
          </o:OLEObject>
        </w:object>
      </w:r>
      <w:r>
        <w:rPr>
          <w:rFonts w:hint="eastAsia" w:ascii="微软雅黑" w:hAnsi="微软雅黑" w:eastAsia="微软雅黑" w:cs="微软雅黑"/>
        </w:rPr>
        <w:t>——</w:t>
      </w:r>
      <w:r>
        <w:rPr>
          <w:rFonts w:ascii="Times New Roman" w:hAnsi="Times New Roman"/>
        </w:rPr>
        <w:t>所有</w:t>
      </w:r>
      <w:r>
        <w:rPr>
          <w:rFonts w:hint="eastAsia" w:ascii="Times New Roman" w:hAnsi="Times New Roman"/>
        </w:rPr>
        <w:t>监测时间点</w:t>
      </w:r>
      <w:r>
        <w:rPr>
          <w:rFonts w:ascii="Times New Roman" w:hAnsi="Times New Roman"/>
          <w:position w:val="-12"/>
        </w:rPr>
        <w:object>
          <v:shape id="_x0000_i1074" o:spt="75" type="#_x0000_t75" style="height:19.9pt;width:12.8pt;" o:ole="t" filled="f" o:preferrelative="t" stroked="f" coordsize="21600,21600">
            <v:path/>
            <v:fill on="f" focussize="0,0"/>
            <v:stroke on="f" joinstyle="miter"/>
            <v:imagedata r:id="rId58" o:title=""/>
            <o:lock v:ext="edit" aspectratio="t"/>
            <w10:wrap type="none"/>
            <w10:anchorlock/>
          </v:shape>
          <o:OLEObject Type="Embed" ProgID="Equation.KSEE3" ShapeID="_x0000_i1074" DrawAspect="Content" ObjectID="_1468075748" r:id="rId61">
            <o:LockedField>false</o:LockedField>
          </o:OLEObject>
        </w:object>
      </w:r>
      <w:r>
        <w:rPr>
          <w:rFonts w:hint="eastAsia" w:ascii="Times New Roman" w:hAnsi="Times New Roman"/>
        </w:rPr>
        <w:t>的算术平均值；</w:t>
      </w:r>
    </w:p>
    <w:p w14:paraId="5C3B6F09">
      <w:pPr>
        <w:adjustRightInd/>
        <w:spacing w:line="240" w:lineRule="auto"/>
        <w:ind w:firstLine="420" w:firstLineChars="200"/>
        <w:rPr>
          <w:rFonts w:ascii="Times New Roman" w:hAnsi="Times New Roman"/>
        </w:rPr>
      </w:pPr>
      <w:r>
        <w:rPr>
          <w:rFonts w:ascii="Times New Roman" w:hAnsi="Times New Roman"/>
          <w:position w:val="-12"/>
        </w:rPr>
        <w:object>
          <v:shape id="_x0000_i1049" o:spt="75" type="#_x0000_t75" style="height:19.9pt;width:14.2pt;" o:ole="t" filled="f" o:preferrelative="t" stroked="f" coordsize="21600,21600">
            <v:path/>
            <v:fill on="f" focussize="0,0"/>
            <v:stroke on="f" joinstyle="miter"/>
            <v:imagedata r:id="rId63" o:title=""/>
            <o:lock v:ext="edit" aspectratio="t"/>
            <w10:wrap type="none"/>
            <w10:anchorlock/>
          </v:shape>
          <o:OLEObject Type="Embed" ProgID="Equation.KSEE3" ShapeID="_x0000_i1049" DrawAspect="Content" ObjectID="_1468075749" r:id="rId62">
            <o:LockedField>false</o:LockedField>
          </o:OLEObject>
        </w:object>
      </w:r>
      <w:r>
        <w:rPr>
          <w:rFonts w:hint="eastAsia" w:ascii="微软雅黑" w:hAnsi="微软雅黑" w:eastAsia="微软雅黑" w:cs="微软雅黑"/>
        </w:rPr>
        <w:t>——</w:t>
      </w:r>
      <w:r>
        <w:rPr>
          <w:rFonts w:ascii="Times New Roman" w:hAnsi="Times New Roman"/>
        </w:rPr>
        <w:t>第i次稳定性监测</w:t>
      </w:r>
      <w:r>
        <w:rPr>
          <w:rFonts w:hint="eastAsia" w:ascii="Times New Roman" w:hAnsi="Times New Roman"/>
        </w:rPr>
        <w:t>中实物标样测得的特性量值</w:t>
      </w:r>
      <w:r>
        <w:rPr>
          <w:rFonts w:ascii="Times New Roman" w:hAnsi="Times New Roman"/>
        </w:rPr>
        <w:t>；</w:t>
      </w:r>
    </w:p>
    <w:p w14:paraId="07672634">
      <w:pPr>
        <w:adjustRightInd/>
        <w:spacing w:line="240" w:lineRule="auto"/>
        <w:ind w:firstLine="420" w:firstLineChars="200"/>
        <w:rPr>
          <w:rFonts w:ascii="Times New Roman" w:hAnsi="Times New Roman"/>
        </w:rPr>
      </w:pPr>
      <w:r>
        <w:rPr>
          <w:rFonts w:ascii="Times New Roman" w:hAnsi="Times New Roman"/>
          <w:position w:val="-10"/>
        </w:rPr>
        <w:object>
          <v:shape id="_x0000_i1050" o:spt="75" type="#_x0000_t75" style="height:20.85pt;width:11.85pt;" o:ole="t" filled="f" o:preferrelative="t" stroked="f" coordsize="21600,21600">
            <v:path/>
            <v:fill on="f" focussize="0,0"/>
            <v:stroke on="f" joinstyle="miter"/>
            <v:imagedata r:id="rId65" o:title=""/>
            <o:lock v:ext="edit" aspectratio="t"/>
            <w10:wrap type="none"/>
            <w10:anchorlock/>
          </v:shape>
          <o:OLEObject Type="Embed" ProgID="Equation.KSEE3" ShapeID="_x0000_i1050" DrawAspect="Content" ObjectID="_1468075750" r:id="rId64">
            <o:LockedField>false</o:LockedField>
          </o:OLEObject>
        </w:object>
      </w:r>
      <w:r>
        <w:rPr>
          <w:rFonts w:hint="eastAsia" w:ascii="微软雅黑" w:hAnsi="微软雅黑" w:eastAsia="微软雅黑" w:cs="微软雅黑"/>
        </w:rPr>
        <w:t>——</w:t>
      </w:r>
      <w:r>
        <w:rPr>
          <w:rFonts w:hint="eastAsia" w:ascii="Times New Roman" w:hAnsi="Times New Roman"/>
        </w:rPr>
        <w:t>所有监测点测得的标样特性量值</w:t>
      </w:r>
      <w:r>
        <w:rPr>
          <w:rFonts w:ascii="Times New Roman" w:hAnsi="Times New Roman"/>
          <w:position w:val="-12"/>
        </w:rPr>
        <w:object>
          <v:shape id="_x0000_i1051" o:spt="75" type="#_x0000_t75" style="height:19.9pt;width:14.2pt;" o:ole="t" filled="f" o:preferrelative="t" stroked="f" coordsize="21600,21600">
            <v:path/>
            <v:fill on="f" focussize="0,0"/>
            <v:stroke on="f" joinstyle="miter"/>
            <v:imagedata r:id="rId63" o:title=""/>
            <o:lock v:ext="edit" aspectratio="t"/>
            <w10:wrap type="none"/>
            <w10:anchorlock/>
          </v:shape>
          <o:OLEObject Type="Embed" ProgID="Equation.KSEE3" ShapeID="_x0000_i1051" DrawAspect="Content" ObjectID="_1468075751" r:id="rId66">
            <o:LockedField>false</o:LockedField>
          </o:OLEObject>
        </w:object>
      </w:r>
      <w:r>
        <w:rPr>
          <w:rFonts w:hint="eastAsia" w:ascii="Times New Roman" w:hAnsi="Times New Roman"/>
        </w:rPr>
        <w:t>的算术平均值；</w:t>
      </w:r>
    </w:p>
    <w:p w14:paraId="276DAFE7">
      <w:pPr>
        <w:adjustRightInd/>
        <w:spacing w:line="240" w:lineRule="auto"/>
        <w:ind w:firstLine="420" w:firstLineChars="200"/>
        <w:rPr>
          <w:rFonts w:ascii="Times New Roman" w:hAnsi="Times New Roman"/>
        </w:rPr>
      </w:pPr>
    </w:p>
    <w:p w14:paraId="00D3073B">
      <w:pPr>
        <w:pStyle w:val="109"/>
        <w:numPr>
          <w:ilvl w:val="1"/>
          <w:numId w:val="33"/>
        </w:numPr>
        <w:spacing w:before="312" w:after="312"/>
      </w:pPr>
      <w:bookmarkStart w:id="43" w:name="_Toc1707"/>
      <w:r>
        <w:rPr>
          <w:rFonts w:hint="eastAsia"/>
        </w:rPr>
        <w:t>定值</w:t>
      </w:r>
      <w:bookmarkEnd w:id="43"/>
    </w:p>
    <w:p w14:paraId="3AC9086C">
      <w:pPr>
        <w:pStyle w:val="110"/>
        <w:numPr>
          <w:ilvl w:val="2"/>
          <w:numId w:val="33"/>
        </w:numPr>
        <w:spacing w:before="156" w:after="156"/>
      </w:pPr>
      <w:r>
        <w:rPr>
          <w:rFonts w:hint="eastAsia"/>
        </w:rPr>
        <w:t>仪器定值类特性值</w:t>
      </w:r>
    </w:p>
    <w:p w14:paraId="4D54F499">
      <w:pPr>
        <w:pStyle w:val="70"/>
        <w:numPr>
          <w:ilvl w:val="3"/>
          <w:numId w:val="33"/>
        </w:numPr>
        <w:spacing w:before="0" w:beforeLines="0" w:after="0" w:afterLines="0"/>
        <w:rPr>
          <w:rFonts w:ascii="宋体" w:hAnsi="宋体" w:eastAsia="宋体"/>
        </w:rPr>
      </w:pPr>
      <w:r>
        <w:rPr>
          <w:rFonts w:hint="eastAsia" w:ascii="宋体" w:hAnsi="宋体" w:eastAsia="宋体"/>
        </w:rPr>
        <w:t>同一实验室采用两种或更多不同原理的独立参考方法进行定值。对于被研究的特性值，应由有资质的实验室采用独立的参考方法进行测量，所用方法能进行完整的不确定度评定，该测量结果应能通过不间断的比较链溯源至适当的国家、国际测量标准或</w:t>
      </w:r>
      <w:r>
        <w:rPr>
          <w:rFonts w:ascii="Times New Roman" w:eastAsia="宋体"/>
        </w:rPr>
        <w:t>SI</w:t>
      </w:r>
      <w:r>
        <w:rPr>
          <w:rFonts w:hint="eastAsia" w:ascii="宋体" w:hAnsi="宋体" w:eastAsia="宋体"/>
        </w:rPr>
        <w:t>单位。</w:t>
      </w:r>
    </w:p>
    <w:p w14:paraId="4F385CF6">
      <w:pPr>
        <w:pStyle w:val="70"/>
        <w:numPr>
          <w:ilvl w:val="3"/>
          <w:numId w:val="33"/>
        </w:numPr>
        <w:spacing w:before="0" w:beforeLines="0" w:after="0" w:afterLines="0"/>
        <w:rPr>
          <w:rFonts w:ascii="宋体" w:hAnsi="宋体" w:eastAsia="宋体"/>
        </w:rPr>
      </w:pPr>
      <w:r>
        <w:rPr>
          <w:rFonts w:hint="eastAsia" w:ascii="宋体" w:hAnsi="宋体" w:eastAsia="宋体"/>
        </w:rPr>
        <w:t>使用一种或多种已证明准确性的方法由多个实验室合作定值。各实验室应具有一定的技术权威性，在测定实物标样特性值方面应具有必备的条件及同等的技术能力和经验，以保证所提供的结果具有较高的准确度和可信度。</w:t>
      </w:r>
    </w:p>
    <w:p w14:paraId="405318DE">
      <w:pPr>
        <w:pStyle w:val="70"/>
        <w:numPr>
          <w:ilvl w:val="3"/>
          <w:numId w:val="33"/>
        </w:numPr>
        <w:spacing w:before="0" w:beforeLines="0" w:after="0" w:afterLines="0"/>
        <w:rPr>
          <w:rFonts w:ascii="宋体" w:hAnsi="宋体" w:eastAsia="宋体"/>
        </w:rPr>
      </w:pPr>
      <w:r>
        <w:rPr>
          <w:rFonts w:hint="eastAsia" w:ascii="宋体" w:hAnsi="宋体" w:eastAsia="宋体"/>
        </w:rPr>
        <w:t>单个实验室内采用单个参考测量程序，计算的不确定度宜考虑用于赋值的特定统计处理。</w:t>
      </w:r>
    </w:p>
    <w:p w14:paraId="4EEDCBC6">
      <w:pPr>
        <w:pStyle w:val="110"/>
        <w:numPr>
          <w:ilvl w:val="2"/>
          <w:numId w:val="33"/>
        </w:numPr>
        <w:spacing w:before="156" w:after="156"/>
      </w:pPr>
      <w:r>
        <w:rPr>
          <w:rFonts w:hint="eastAsia"/>
        </w:rPr>
        <w:t>感官定值类特性值</w:t>
      </w:r>
    </w:p>
    <w:p w14:paraId="13AF3D94">
      <w:pPr>
        <w:pStyle w:val="70"/>
        <w:numPr>
          <w:ilvl w:val="3"/>
          <w:numId w:val="33"/>
        </w:numPr>
        <w:spacing w:before="0" w:beforeLines="0" w:after="0" w:afterLines="0"/>
        <w:rPr>
          <w:rFonts w:ascii="宋体" w:hAnsi="宋体" w:eastAsia="宋体"/>
        </w:rPr>
      </w:pPr>
      <w:r>
        <w:rPr>
          <w:rFonts w:hint="eastAsia" w:ascii="宋体" w:hAnsi="宋体" w:eastAsia="宋体"/>
        </w:rPr>
        <w:t>感官定值包括实物标样目标特性值的符合性判定和/或量化评价。</w:t>
      </w:r>
    </w:p>
    <w:p w14:paraId="44DA17A7">
      <w:pPr>
        <w:pStyle w:val="70"/>
        <w:numPr>
          <w:ilvl w:val="3"/>
          <w:numId w:val="33"/>
        </w:numPr>
        <w:spacing w:before="0" w:beforeLines="0" w:after="0" w:afterLines="0"/>
        <w:rPr>
          <w:rFonts w:ascii="宋体" w:hAnsi="宋体" w:eastAsia="宋体"/>
        </w:rPr>
      </w:pPr>
      <w:r>
        <w:rPr>
          <w:rFonts w:hint="eastAsia" w:ascii="宋体" w:hAnsi="宋体" w:eastAsia="宋体"/>
        </w:rPr>
        <w:t>感官定值程序应符合感官分析开展的相关技术要求，应将文字标准转化为具体的感官特性评价程序供使用。</w:t>
      </w:r>
    </w:p>
    <w:p w14:paraId="7DCA470B">
      <w:pPr>
        <w:pStyle w:val="70"/>
        <w:numPr>
          <w:ilvl w:val="3"/>
          <w:numId w:val="33"/>
        </w:numPr>
        <w:spacing w:before="0" w:beforeLines="0" w:after="0" w:afterLines="0"/>
        <w:rPr>
          <w:rFonts w:ascii="宋体" w:hAnsi="宋体" w:eastAsia="宋体"/>
        </w:rPr>
      </w:pPr>
      <w:r>
        <w:rPr>
          <w:rFonts w:hint="eastAsia" w:ascii="宋体" w:hAnsi="宋体" w:eastAsia="宋体"/>
        </w:rPr>
        <w:t>由10名及以上具有相应资质的评价员组成，并符合GB/T 16291的规定。</w:t>
      </w:r>
    </w:p>
    <w:p w14:paraId="00782B33">
      <w:pPr>
        <w:pStyle w:val="110"/>
        <w:numPr>
          <w:ilvl w:val="2"/>
          <w:numId w:val="33"/>
        </w:numPr>
        <w:spacing w:before="156" w:after="156"/>
      </w:pPr>
      <w:r>
        <w:rPr>
          <w:rFonts w:hint="eastAsia"/>
        </w:rPr>
        <w:t>数据处理（164条）</w:t>
      </w:r>
    </w:p>
    <w:p w14:paraId="528857F9">
      <w:pPr>
        <w:pStyle w:val="61"/>
        <w:spacing w:before="0" w:beforeLines="0" w:after="0" w:afterLines="0"/>
        <w:ind w:firstLine="0" w:firstLineChars="0"/>
        <w:rPr>
          <w:rFonts w:hint="eastAsia" w:ascii="宋体" w:hAnsi="宋体" w:eastAsia="宋体"/>
        </w:rPr>
      </w:pPr>
    </w:p>
    <w:p w14:paraId="541467FB">
      <w:pPr>
        <w:pStyle w:val="109"/>
        <w:numPr>
          <w:ilvl w:val="1"/>
          <w:numId w:val="33"/>
        </w:numPr>
        <w:spacing w:before="312" w:after="312"/>
      </w:pPr>
      <w:bookmarkStart w:id="44" w:name="_Toc30716"/>
      <w:r>
        <w:rPr>
          <w:rFonts w:hint="eastAsia"/>
        </w:rPr>
        <w:t>不确定度评估</w:t>
      </w:r>
      <w:bookmarkEnd w:id="44"/>
    </w:p>
    <w:p w14:paraId="2DE5F31C">
      <w:pPr>
        <w:pStyle w:val="110"/>
        <w:numPr>
          <w:ilvl w:val="2"/>
          <w:numId w:val="33"/>
        </w:numPr>
        <w:spacing w:before="156" w:after="156"/>
      </w:pPr>
      <w:r>
        <w:rPr>
          <w:rFonts w:hint="eastAsia"/>
        </w:rPr>
        <w:t>均匀性不确定度的评定</w:t>
      </w:r>
    </w:p>
    <w:p w14:paraId="69AC345D">
      <w:pPr>
        <w:pStyle w:val="61"/>
        <w:ind w:firstLine="420"/>
      </w:pPr>
      <w:r>
        <w:rPr>
          <w:rFonts w:hint="eastAsia"/>
        </w:rPr>
        <w:t>均匀性确认可使用</w:t>
      </w:r>
      <w:r>
        <w:rPr>
          <w:rFonts w:ascii="Times New Roman"/>
        </w:rPr>
        <w:t>F</w:t>
      </w:r>
      <w:r>
        <w:rPr>
          <w:rFonts w:hint="eastAsia"/>
        </w:rPr>
        <w:t>检验法，确认在</w:t>
      </w:r>
      <w:r>
        <w:rPr>
          <w:rFonts w:ascii="Times New Roman"/>
        </w:rPr>
        <w:t>95％</w:t>
      </w:r>
      <w:r>
        <w:rPr>
          <w:rFonts w:hint="eastAsia"/>
        </w:rPr>
        <w:t>的置信水平时单元间项不具有统计显著性差异；也可将单元间和/或单元内标准差和与定值相关的不确定度进行比较,确认标准差与定值不确定度相比较小。通常单元间标准差</w:t>
      </w:r>
      <w:r>
        <w:rPr>
          <w:rFonts w:hint="eastAsia" w:ascii="Times New Roman"/>
        </w:rPr>
        <w:t>S</w:t>
      </w:r>
      <w:r>
        <w:rPr>
          <w:rFonts w:ascii="Times New Roman"/>
          <w:i/>
          <w:iCs/>
          <w:vertAlign w:val="subscript"/>
        </w:rPr>
        <w:t>bb</w:t>
      </w:r>
      <w:r>
        <w:rPr>
          <w:rFonts w:hint="eastAsia"/>
        </w:rPr>
        <w:t>即为该批样品的均匀性不确定度。</w:t>
      </w:r>
    </w:p>
    <w:p w14:paraId="0E61C0A9">
      <w:pPr>
        <w:pStyle w:val="61"/>
        <w:ind w:firstLine="420"/>
      </w:pPr>
      <w:r>
        <w:t>均匀性检验的不确定度</w:t>
      </w:r>
      <w:r>
        <w:rPr>
          <w:rFonts w:hint="eastAsia"/>
        </w:rPr>
        <w:t>：</w:t>
      </w:r>
    </w:p>
    <w:p w14:paraId="5F42FA5B">
      <w:pPr>
        <w:pStyle w:val="61"/>
        <w:tabs>
          <w:tab w:val="center" w:pos="4095"/>
          <w:tab w:val="right" w:leader="middleDot" w:pos="8190"/>
        </w:tabs>
        <w:ind w:firstLine="560"/>
        <w:jc w:val="center"/>
        <w:rPr>
          <w:rFonts w:ascii="Times New Roman"/>
          <w:iCs/>
        </w:rPr>
      </w:pPr>
      <w:r>
        <w:rPr>
          <w:rFonts w:hint="eastAsia" w:ascii="Times New Roman"/>
          <w:i/>
          <w:sz w:val="28"/>
          <w:szCs w:val="28"/>
          <w:lang w:bidi="en-US"/>
        </w:rPr>
        <w:tab/>
      </w:r>
      <w:r>
        <w:rPr>
          <w:rFonts w:ascii="Times New Roman"/>
          <w:i/>
          <w:position w:val="-12"/>
          <w:sz w:val="28"/>
          <w:szCs w:val="28"/>
          <w:lang w:bidi="en-US"/>
        </w:rPr>
        <w:object>
          <v:shape id="_x0000_i1052" o:spt="75" type="#_x0000_t75" style="height:21.8pt;width:43.1pt;" o:ole="t" filled="f" o:preferrelative="t" stroked="f" coordsize="21600,21600">
            <v:path/>
            <v:fill on="f" focussize="0,0"/>
            <v:stroke on="f" joinstyle="miter"/>
            <v:imagedata r:id="rId68" o:title=""/>
            <o:lock v:ext="edit" aspectratio="t"/>
            <w10:wrap type="none"/>
            <w10:anchorlock/>
          </v:shape>
          <o:OLEObject Type="Embed" ProgID="Equation.KSEE3" ShapeID="_x0000_i1052" DrawAspect="Content" ObjectID="_1468075752" r:id="rId67">
            <o:LockedField>false</o:LockedField>
          </o:OLEObject>
        </w:object>
      </w:r>
      <w:r>
        <w:rPr>
          <w:rFonts w:hint="eastAsia" w:ascii="Times New Roman"/>
          <w:iCs/>
          <w:szCs w:val="21"/>
          <w:lang w:bidi="en-US"/>
        </w:rPr>
        <w:tab/>
      </w:r>
      <w:r>
        <w:rPr>
          <w:rFonts w:ascii="Times New Roman"/>
          <w:iCs/>
        </w:rPr>
        <w:t>（</w:t>
      </w:r>
      <w:r>
        <w:rPr>
          <w:rFonts w:hint="eastAsia" w:ascii="Times New Roman"/>
          <w:iCs/>
        </w:rPr>
        <w:t>17</w:t>
      </w:r>
      <w:r>
        <w:rPr>
          <w:rFonts w:ascii="Times New Roman"/>
          <w:iCs/>
        </w:rPr>
        <w:t>）</w:t>
      </w:r>
      <w:bookmarkStart w:id="69" w:name="_GoBack"/>
      <w:bookmarkEnd w:id="69"/>
    </w:p>
    <w:p w14:paraId="51F20FBA">
      <w:pPr>
        <w:pStyle w:val="110"/>
        <w:numPr>
          <w:ilvl w:val="2"/>
          <w:numId w:val="33"/>
        </w:numPr>
        <w:spacing w:before="156" w:after="156"/>
      </w:pPr>
      <w:r>
        <w:rPr>
          <w:rFonts w:hint="eastAsia"/>
        </w:rPr>
        <w:t>稳定性不确定度评定</w:t>
      </w:r>
    </w:p>
    <w:p w14:paraId="4E52333A">
      <w:pPr>
        <w:pStyle w:val="70"/>
        <w:numPr>
          <w:ilvl w:val="3"/>
          <w:numId w:val="33"/>
        </w:numPr>
        <w:spacing w:before="0" w:beforeLines="0" w:after="0" w:afterLines="0"/>
        <w:rPr>
          <w:rFonts w:ascii="宋体" w:hAnsi="宋体" w:eastAsia="宋体"/>
        </w:rPr>
      </w:pPr>
      <w:r>
        <w:rPr>
          <w:rFonts w:hint="eastAsia" w:ascii="宋体" w:hAnsi="宋体" w:eastAsia="宋体"/>
        </w:rPr>
        <w:t>实物标样有效期内的潜在变化小于特性值不确定度的</w:t>
      </w:r>
      <w:r>
        <w:rPr>
          <w:rFonts w:ascii="Times New Roman" w:eastAsia="宋体"/>
        </w:rPr>
        <w:t>1/3(u</w:t>
      </w:r>
      <w:r>
        <w:rPr>
          <w:rFonts w:ascii="Times New Roman" w:eastAsia="宋体"/>
          <w:vertAlign w:val="subscript"/>
        </w:rPr>
        <w:t>crm</w:t>
      </w:r>
      <w:r>
        <w:rPr>
          <w:rFonts w:ascii="Times New Roman" w:eastAsia="宋体"/>
        </w:rPr>
        <w:t>/3)</w:t>
      </w:r>
      <w:r>
        <w:rPr>
          <w:rFonts w:hint="eastAsia" w:ascii="Times New Roman" w:eastAsia="宋体"/>
        </w:rPr>
        <w:t>，</w:t>
      </w:r>
      <w:r>
        <w:rPr>
          <w:rFonts w:hint="eastAsia" w:ascii="宋体" w:hAnsi="宋体" w:eastAsia="宋体"/>
        </w:rPr>
        <w:t>则忽略不计，长期稳定性的不确定度就可以设置为零或者从特性值不确定度中忽略。</w:t>
      </w:r>
    </w:p>
    <w:p w14:paraId="42841E0C">
      <w:pPr>
        <w:pStyle w:val="70"/>
        <w:numPr>
          <w:ilvl w:val="3"/>
          <w:numId w:val="33"/>
        </w:numPr>
        <w:spacing w:before="0" w:beforeLines="0" w:after="0" w:afterLines="0"/>
        <w:rPr>
          <w:rFonts w:ascii="宋体" w:hAnsi="宋体" w:eastAsia="宋体"/>
        </w:rPr>
      </w:pPr>
      <w:r>
        <w:rPr>
          <w:rFonts w:hint="eastAsia" w:ascii="宋体" w:hAnsi="宋体" w:eastAsia="宋体"/>
        </w:rPr>
        <w:t>实物标样应尽可能的设置较长的有效期，需要对特性值随时间推移与预测变化相关联的不确定度进行估计。</w:t>
      </w:r>
    </w:p>
    <w:p w14:paraId="6181945D">
      <w:pPr>
        <w:pStyle w:val="70"/>
        <w:numPr>
          <w:ilvl w:val="3"/>
          <w:numId w:val="33"/>
        </w:numPr>
        <w:spacing w:before="0" w:beforeLines="0" w:after="0" w:afterLines="0"/>
        <w:rPr>
          <w:rFonts w:ascii="宋体" w:hAnsi="宋体" w:eastAsia="宋体"/>
        </w:rPr>
      </w:pPr>
      <w:r>
        <w:rPr>
          <w:rFonts w:hint="eastAsia" w:ascii="宋体" w:hAnsi="宋体" w:eastAsia="宋体"/>
        </w:rPr>
        <w:t>宜利用线性模拟评估稳定性，用各时间点的总均值</w:t>
      </w:r>
      <w:r>
        <w:rPr>
          <w:rFonts w:ascii="Times New Roman" w:eastAsia="宋体"/>
        </w:rPr>
        <w:t>（</w:t>
      </w:r>
      <w:r>
        <w:rPr>
          <w:rFonts w:ascii="Times New Roman" w:eastAsia="宋体"/>
          <w:i/>
          <w:iCs/>
        </w:rPr>
        <w:t>y</w:t>
      </w:r>
      <w:r>
        <w:rPr>
          <w:rFonts w:ascii="Times New Roman" w:eastAsia="宋体"/>
          <w:i/>
          <w:iCs/>
          <w:vertAlign w:val="subscript"/>
        </w:rPr>
        <w:t>i</w:t>
      </w:r>
      <w:r>
        <w:rPr>
          <w:rFonts w:ascii="Times New Roman" w:eastAsia="宋体"/>
        </w:rPr>
        <w:t>）</w:t>
      </w:r>
      <w:r>
        <w:rPr>
          <w:rFonts w:hint="eastAsia" w:ascii="宋体" w:hAnsi="宋体" w:eastAsia="宋体"/>
        </w:rPr>
        <w:t>对时间</w:t>
      </w:r>
      <w:r>
        <w:rPr>
          <w:rFonts w:ascii="Times New Roman" w:eastAsia="宋体"/>
        </w:rPr>
        <w:t>（</w:t>
      </w:r>
      <w:r>
        <w:rPr>
          <w:rFonts w:ascii="Times New Roman" w:eastAsia="宋体"/>
          <w:i/>
          <w:iCs/>
        </w:rPr>
        <w:t>x</w:t>
      </w:r>
      <w:r>
        <w:rPr>
          <w:rFonts w:ascii="Times New Roman" w:eastAsia="宋体"/>
          <w:i/>
          <w:iCs/>
          <w:vertAlign w:val="subscript"/>
        </w:rPr>
        <w:t>i</w:t>
      </w:r>
      <w:r>
        <w:rPr>
          <w:rFonts w:ascii="Times New Roman" w:eastAsia="宋体"/>
        </w:rPr>
        <w:t>）</w:t>
      </w:r>
      <w:r>
        <w:rPr>
          <w:rFonts w:hint="eastAsia" w:ascii="宋体" w:hAnsi="宋体" w:eastAsia="宋体"/>
        </w:rPr>
        <w:t>拟合直线，求得斜率和截距。</w:t>
      </w:r>
    </w:p>
    <w:p w14:paraId="4325A41A">
      <w:pPr>
        <w:pStyle w:val="61"/>
        <w:ind w:firstLine="420"/>
      </w:pPr>
      <w:r>
        <w:rPr>
          <w:rFonts w:hint="eastAsia"/>
        </w:rPr>
        <w:t>此时，可通过</w:t>
      </w:r>
      <w:r>
        <w:rPr>
          <w:rFonts w:ascii="Times New Roman"/>
        </w:rPr>
        <w:t>t</w:t>
      </w:r>
      <w:r>
        <w:rPr>
          <w:rFonts w:hint="eastAsia"/>
        </w:rPr>
        <w:t>-检验对研究时段内的稳定性进行显著性检验：</w:t>
      </w:r>
    </w:p>
    <w:p w14:paraId="16155E01">
      <w:pPr>
        <w:pStyle w:val="118"/>
        <w:tabs>
          <w:tab w:val="center" w:pos="4095"/>
          <w:tab w:val="right" w:leader="middleDot" w:pos="8190"/>
          <w:tab w:val="clear" w:pos="4678"/>
          <w:tab w:val="clear" w:pos="9356"/>
        </w:tabs>
        <w:jc w:val="center"/>
      </w:pPr>
      <w:r>
        <w:rPr>
          <w:rFonts w:hint="eastAsia"/>
        </w:rPr>
        <w:tab/>
      </w:r>
      <w:r>
        <w:rPr>
          <w:rFonts w:ascii="Times New Roman" w:hAnsi="Times New Roman"/>
          <w:position w:val="-30"/>
        </w:rPr>
        <w:object>
          <v:shape id="_x0000_i1053" o:spt="75" type="#_x0000_t75" style="height:36pt;width:50.2pt;" o:ole="t" filled="f" o:preferrelative="t" stroked="f" coordsize="21600,21600">
            <v:path/>
            <v:fill on="f" focussize="0,0"/>
            <v:stroke on="f" joinstyle="miter"/>
            <v:imagedata r:id="rId70" o:title=""/>
            <o:lock v:ext="edit" aspectratio="t"/>
            <w10:wrap type="none"/>
            <w10:anchorlock/>
          </v:shape>
          <o:OLEObject Type="Embed" ProgID="Equation.KSEE3" ShapeID="_x0000_i1053" DrawAspect="Content" ObjectID="_1468075753" r:id="rId69">
            <o:LockedField>false</o:LockedField>
          </o:OLEObject>
        </w:object>
      </w:r>
      <w:r>
        <w:rPr>
          <w:rFonts w:ascii="Times New Roman" w:hAnsi="Times New Roman"/>
          <w:iCs/>
          <w:kern w:val="0"/>
          <w:lang w:bidi="en-US"/>
        </w:rPr>
        <w:tab/>
      </w:r>
      <w:r>
        <w:rPr>
          <w:rFonts w:ascii="Times New Roman" w:hAnsi="Times New Roman"/>
          <w:iCs/>
          <w:kern w:val="0"/>
          <w:lang w:bidi="en-US"/>
        </w:rPr>
        <w:t>（18）</w:t>
      </w:r>
    </w:p>
    <w:p w14:paraId="4CC3F6B3">
      <w:pPr>
        <w:pStyle w:val="60"/>
        <w:ind w:firstLine="420"/>
      </w:pPr>
      <w:r>
        <w:rPr>
          <w:rFonts w:hint="eastAsia"/>
        </w:rPr>
        <w:t>式中：</w:t>
      </w:r>
    </w:p>
    <w:p w14:paraId="14DBFC8F">
      <w:pPr>
        <w:pStyle w:val="61"/>
        <w:ind w:firstLine="420"/>
      </w:pPr>
      <w:r>
        <w:rPr>
          <w:rFonts w:ascii="Times New Roman"/>
          <w:i/>
          <w:iCs/>
        </w:rPr>
        <w:t>b</w:t>
      </w:r>
      <w:r>
        <w:rPr>
          <w:rFonts w:ascii="Times New Roman"/>
          <w:i/>
          <w:iCs/>
          <w:vertAlign w:val="subscript"/>
        </w:rPr>
        <w:t xml:space="preserve">1 </w:t>
      </w:r>
      <w:r>
        <w:rPr>
          <w:rFonts w:hint="eastAsia" w:ascii="微软雅黑" w:hAnsi="微软雅黑" w:eastAsia="微软雅黑" w:cs="微软雅黑"/>
        </w:rPr>
        <w:t>——</w:t>
      </w:r>
      <w:r>
        <w:rPr>
          <w:rFonts w:hint="eastAsia" w:hAnsi="宋体"/>
        </w:rPr>
        <w:t>回归直线的斜率</w:t>
      </w:r>
      <w:r>
        <w:rPr>
          <w:rFonts w:hint="eastAsia"/>
        </w:rPr>
        <w:t>；</w:t>
      </w:r>
    </w:p>
    <w:p w14:paraId="5674B105">
      <w:pPr>
        <w:pStyle w:val="61"/>
        <w:ind w:firstLine="420"/>
      </w:pPr>
      <w:r>
        <w:rPr>
          <w:rFonts w:ascii="Times New Roman"/>
          <w:i/>
          <w:iCs/>
        </w:rPr>
        <w:t>s</w:t>
      </w:r>
      <w:r>
        <w:rPr>
          <w:rFonts w:ascii="Times New Roman"/>
        </w:rPr>
        <w:t>(</w:t>
      </w:r>
      <w:r>
        <w:rPr>
          <w:rFonts w:ascii="Times New Roman"/>
          <w:i/>
          <w:iCs/>
        </w:rPr>
        <w:t>b</w:t>
      </w:r>
      <w:r>
        <w:rPr>
          <w:rFonts w:ascii="Times New Roman"/>
          <w:i/>
          <w:iCs/>
          <w:vertAlign w:val="subscript"/>
        </w:rPr>
        <w:t>1</w:t>
      </w:r>
      <w:r>
        <w:rPr>
          <w:rFonts w:ascii="Times New Roman"/>
        </w:rPr>
        <w:t>)</w:t>
      </w:r>
      <w:r>
        <w:rPr>
          <w:rFonts w:hint="eastAsia" w:ascii="微软雅黑" w:hAnsi="微软雅黑" w:eastAsia="微软雅黑" w:cs="微软雅黑"/>
        </w:rPr>
        <w:t>——</w:t>
      </w:r>
      <w:r>
        <w:rPr>
          <w:rFonts w:hint="eastAsia" w:hAnsi="宋体"/>
        </w:rPr>
        <w:t>斜率的标准误差。</w:t>
      </w:r>
    </w:p>
    <w:p w14:paraId="55B7FA10">
      <w:pPr>
        <w:pStyle w:val="184"/>
        <w:rPr>
          <w:rFonts w:ascii="Times New Roman"/>
        </w:rPr>
      </w:pPr>
      <w:r>
        <w:rPr>
          <w:rFonts w:hint="eastAsia"/>
        </w:rPr>
        <w:t>将</w:t>
      </w:r>
      <w:r>
        <w:rPr>
          <w:rFonts w:hint="eastAsia"/>
          <w:i/>
          <w:iCs/>
        </w:rPr>
        <w:t>t</w:t>
      </w:r>
      <w:r>
        <w:rPr>
          <w:rFonts w:hint="eastAsia"/>
          <w:vertAlign w:val="subscript"/>
        </w:rPr>
        <w:t>b1</w:t>
      </w:r>
      <w:r>
        <w:rPr>
          <w:rFonts w:ascii="Times New Roman"/>
        </w:rPr>
        <w:t>与95％置信水平下自由度为（n-2）的t-检验双边临界值</w:t>
      </w:r>
      <w:r>
        <w:rPr>
          <w:rFonts w:ascii="Times New Roman"/>
          <w:i/>
          <w:iCs/>
        </w:rPr>
        <w:t>t</w:t>
      </w:r>
      <w:r>
        <w:rPr>
          <w:rFonts w:ascii="Times New Roman"/>
          <w:vertAlign w:val="subscript"/>
        </w:rPr>
        <w:t>95，n-2</w:t>
      </w:r>
      <w:r>
        <w:rPr>
          <w:rFonts w:ascii="Times New Roman"/>
        </w:rPr>
        <w:t>相比较，如果</w:t>
      </w:r>
      <w:r>
        <w:rPr>
          <w:rFonts w:ascii="Times New Roman"/>
          <w:i/>
          <w:iCs/>
        </w:rPr>
        <w:t>t</w:t>
      </w:r>
      <w:r>
        <w:rPr>
          <w:rFonts w:ascii="Times New Roman"/>
          <w:vertAlign w:val="subscript"/>
        </w:rPr>
        <w:t>b1</w:t>
      </w:r>
      <w:r>
        <w:rPr>
          <w:rFonts w:ascii="Times New Roman"/>
        </w:rPr>
        <w:t>超过了临界值，则斜率明显不同于0，特性值在研究时间段内存在降解趋势，否则斜率b</w:t>
      </w:r>
      <w:r>
        <w:rPr>
          <w:rFonts w:ascii="Times New Roman"/>
          <w:vertAlign w:val="subscript"/>
        </w:rPr>
        <w:t>1</w:t>
      </w:r>
      <w:r>
        <w:rPr>
          <w:rFonts w:ascii="Times New Roman"/>
        </w:rPr>
        <w:t>和0之间不存在显著性差异，特性值在所研究的时间段内没有检出降解趋势。</w:t>
      </w:r>
    </w:p>
    <w:p w14:paraId="0E010B36">
      <w:pPr>
        <w:pStyle w:val="61"/>
        <w:ind w:firstLine="420"/>
      </w:pPr>
      <w:r>
        <w:rPr>
          <w:rFonts w:hint="eastAsia"/>
        </w:rPr>
        <w:t>无降解趋势下稳定性不确定度的计算公式如下：</w:t>
      </w:r>
    </w:p>
    <w:p w14:paraId="5917D076">
      <w:pPr>
        <w:pStyle w:val="118"/>
        <w:tabs>
          <w:tab w:val="center" w:pos="4095"/>
          <w:tab w:val="right" w:leader="middleDot" w:pos="8190"/>
          <w:tab w:val="clear" w:pos="4678"/>
          <w:tab w:val="clear" w:pos="9356"/>
        </w:tabs>
        <w:jc w:val="center"/>
      </w:pPr>
      <w:r>
        <w:rPr>
          <w:rFonts w:hint="eastAsia"/>
        </w:rPr>
        <w:tab/>
      </w:r>
      <w:r>
        <w:rPr>
          <w:position w:val="-14"/>
        </w:rPr>
        <w:object>
          <v:shape id="_x0000_i1054" o:spt="75" type="#_x0000_t75" style="height:21.8pt;width:93.8pt;" o:ole="t" filled="f" o:preferrelative="t" stroked="f" coordsize="21600,21600">
            <v:path/>
            <v:fill on="f" focussize="0,0"/>
            <v:stroke on="f" joinstyle="miter"/>
            <v:imagedata r:id="rId72" o:title=""/>
            <o:lock v:ext="edit" aspectratio="t"/>
            <w10:wrap type="none"/>
            <w10:anchorlock/>
          </v:shape>
          <o:OLEObject Type="Embed" ProgID="Equation.KSEE3" ShapeID="_x0000_i1054" DrawAspect="Content" ObjectID="_1468075754" r:id="rId71">
            <o:LockedField>false</o:LockedField>
          </o:OLEObject>
        </w:object>
      </w:r>
      <w:r>
        <w:rPr>
          <w:rFonts w:hint="eastAsia" w:ascii="Times New Roman" w:hAnsi="Times New Roman"/>
          <w:iCs/>
          <w:kern w:val="0"/>
          <w:lang w:bidi="en-US"/>
        </w:rPr>
        <w:tab/>
      </w:r>
      <w:r>
        <w:rPr>
          <w:rFonts w:ascii="Times New Roman" w:hAnsi="Times New Roman"/>
          <w:iCs/>
          <w:kern w:val="0"/>
          <w:lang w:bidi="en-US"/>
        </w:rPr>
        <w:t>（</w:t>
      </w:r>
      <w:r>
        <w:rPr>
          <w:rFonts w:hint="eastAsia" w:ascii="Times New Roman" w:hAnsi="Times New Roman"/>
          <w:iCs/>
          <w:kern w:val="0"/>
          <w:lang w:bidi="en-US"/>
        </w:rPr>
        <w:t>19）</w:t>
      </w:r>
    </w:p>
    <w:p w14:paraId="01A52167">
      <w:pPr>
        <w:pStyle w:val="60"/>
        <w:ind w:firstLine="420"/>
      </w:pPr>
      <w:r>
        <w:rPr>
          <w:rFonts w:hint="eastAsia"/>
        </w:rPr>
        <w:t>式中：</w:t>
      </w:r>
    </w:p>
    <w:p w14:paraId="36FF1A6D">
      <w:pPr>
        <w:pStyle w:val="61"/>
        <w:ind w:firstLine="420"/>
        <w:rPr>
          <w:rFonts w:hAnsi="宋体" w:cs="宋体"/>
        </w:rPr>
      </w:pPr>
      <w:r>
        <w:rPr>
          <w:rFonts w:hint="eastAsia" w:ascii="Times New Roman"/>
          <w:i/>
          <w:iCs/>
        </w:rPr>
        <w:t>u</w:t>
      </w:r>
      <w:r>
        <w:rPr>
          <w:rFonts w:ascii="Times New Roman"/>
          <w:vertAlign w:val="subscript"/>
        </w:rPr>
        <w:t>lts</w:t>
      </w:r>
      <w:r>
        <w:rPr>
          <w:rFonts w:hint="eastAsia" w:ascii="微软雅黑" w:hAnsi="微软雅黑" w:eastAsia="微软雅黑" w:cs="微软雅黑"/>
        </w:rPr>
        <w:t>——</w:t>
      </w:r>
      <w:r>
        <w:rPr>
          <w:rFonts w:hint="eastAsia" w:hAnsi="宋体" w:cs="宋体"/>
        </w:rPr>
        <w:t>长期稳定性不确定度；</w:t>
      </w:r>
    </w:p>
    <w:p w14:paraId="73A58F4D">
      <w:pPr>
        <w:pStyle w:val="61"/>
        <w:ind w:firstLine="420"/>
        <w:rPr>
          <w:rFonts w:hAnsi="宋体" w:cs="宋体"/>
        </w:rPr>
      </w:pPr>
      <w:r>
        <w:rPr>
          <w:rFonts w:hint="eastAsia" w:ascii="Times New Roman"/>
          <w:i/>
          <w:iCs/>
        </w:rPr>
        <w:t>s</w:t>
      </w:r>
      <w:r>
        <w:rPr>
          <w:rFonts w:ascii="Times New Roman"/>
          <w:vertAlign w:val="subscript"/>
        </w:rPr>
        <w:t>(b1)</w:t>
      </w:r>
      <w:r>
        <w:rPr>
          <w:rFonts w:hint="eastAsia" w:ascii="微软雅黑" w:hAnsi="微软雅黑" w:eastAsia="微软雅黑" w:cs="微软雅黑"/>
        </w:rPr>
        <w:t>——</w:t>
      </w:r>
      <w:r>
        <w:rPr>
          <w:rFonts w:hint="eastAsia" w:hAnsi="宋体" w:cs="宋体"/>
        </w:rPr>
        <w:t>估计斜率的标准差；</w:t>
      </w:r>
    </w:p>
    <w:p w14:paraId="3177821F">
      <w:pPr>
        <w:pStyle w:val="61"/>
        <w:ind w:firstLine="420"/>
        <w:rPr>
          <w:rFonts w:hAnsi="宋体" w:cs="宋体"/>
        </w:rPr>
      </w:pPr>
      <w:r>
        <w:rPr>
          <w:rFonts w:hint="eastAsia" w:ascii="Times New Roman"/>
          <w:i/>
          <w:iCs/>
        </w:rPr>
        <w:t>t</w:t>
      </w:r>
      <w:r>
        <w:rPr>
          <w:rFonts w:ascii="Times New Roman"/>
          <w:vertAlign w:val="subscript"/>
        </w:rPr>
        <w:t>ml</w:t>
      </w:r>
      <w:r>
        <w:rPr>
          <w:rFonts w:hint="eastAsia" w:ascii="Times New Roman"/>
          <w:vertAlign w:val="subscript"/>
        </w:rPr>
        <w:t xml:space="preserve"> </w:t>
      </w:r>
      <w:r>
        <w:rPr>
          <w:rFonts w:hint="eastAsia" w:ascii="微软雅黑" w:hAnsi="微软雅黑" w:eastAsia="微软雅黑" w:cs="微软雅黑"/>
        </w:rPr>
        <w:t>——</w:t>
      </w:r>
      <w:r>
        <w:rPr>
          <w:rFonts w:hint="eastAsia" w:hAnsi="宋体" w:cs="宋体"/>
        </w:rPr>
        <w:t>赋值时间与初始稳定性监测时间点的间隔；</w:t>
      </w:r>
    </w:p>
    <w:p w14:paraId="50C7B08F">
      <w:pPr>
        <w:pStyle w:val="61"/>
        <w:ind w:firstLine="420"/>
        <w:rPr>
          <w:rFonts w:hAnsi="宋体" w:cs="宋体"/>
        </w:rPr>
      </w:pPr>
      <w:r>
        <w:rPr>
          <w:rFonts w:hint="eastAsia" w:ascii="Times New Roman"/>
          <w:i/>
          <w:iCs/>
        </w:rPr>
        <w:t>t</w:t>
      </w:r>
      <w:r>
        <w:rPr>
          <w:rFonts w:ascii="Times New Roman"/>
          <w:vertAlign w:val="subscript"/>
        </w:rPr>
        <w:t>cert</w:t>
      </w:r>
      <w:r>
        <w:rPr>
          <w:rFonts w:hint="eastAsia" w:ascii="Times New Roman"/>
          <w:vertAlign w:val="subscript"/>
        </w:rPr>
        <w:t xml:space="preserve"> </w:t>
      </w:r>
      <w:r>
        <w:rPr>
          <w:rFonts w:hint="eastAsia" w:ascii="微软雅黑" w:hAnsi="微软雅黑" w:eastAsia="微软雅黑" w:cs="微软雅黑"/>
        </w:rPr>
        <w:t>——</w:t>
      </w:r>
      <w:r>
        <w:rPr>
          <w:rFonts w:hint="eastAsia" w:hAnsi="宋体" w:cs="宋体"/>
        </w:rPr>
        <w:t>在该时间内发布的证书有效期。</w:t>
      </w:r>
    </w:p>
    <w:p w14:paraId="17CD3ADD">
      <w:pPr>
        <w:pStyle w:val="61"/>
      </w:pPr>
      <w:r>
        <w:rPr>
          <w:rFonts w:hint="eastAsia"/>
        </w:rPr>
        <w:t>有降解趋势下稳定性不确定度的计算公式如下：</w:t>
      </w:r>
    </w:p>
    <w:p w14:paraId="3757ECC1">
      <w:pPr>
        <w:pStyle w:val="118"/>
        <w:ind w:firstLine="420" w:firstLineChars="200"/>
        <w:rPr>
          <w:rFonts w:hAnsi="Times New Roman"/>
        </w:rPr>
      </w:pPr>
      <w:r>
        <w:rPr>
          <w:rFonts w:hint="eastAsia" w:hAnsi="Times New Roman"/>
        </w:rPr>
        <w:t>假定，样品特性值C满足线性退化方程：</w:t>
      </w:r>
    </w:p>
    <w:p w14:paraId="432271FE">
      <w:pPr>
        <w:pStyle w:val="118"/>
        <w:tabs>
          <w:tab w:val="center" w:pos="4095"/>
          <w:tab w:val="right" w:leader="middleDot" w:pos="8190"/>
          <w:tab w:val="clear" w:pos="4678"/>
          <w:tab w:val="clear" w:pos="9356"/>
        </w:tabs>
        <w:jc w:val="center"/>
        <w:rPr>
          <w:rFonts w:ascii="Times New Roman" w:hAnsi="Times New Roman"/>
        </w:rPr>
      </w:pPr>
      <w:r>
        <w:rPr>
          <w:rFonts w:hint="eastAsia" w:ascii="Times New Roman" w:hAnsi="Times New Roman"/>
          <w:i/>
          <w:iCs/>
        </w:rPr>
        <w:tab/>
      </w:r>
      <w:r>
        <w:rPr>
          <w:rFonts w:ascii="Times New Roman" w:hAnsi="Times New Roman"/>
          <w:i/>
          <w:iCs/>
        </w:rPr>
        <w:t>C（C</w:t>
      </w:r>
      <w:r>
        <w:rPr>
          <w:rFonts w:ascii="Times New Roman" w:hAnsi="Times New Roman"/>
          <w:i/>
          <w:iCs/>
          <w:vertAlign w:val="subscript"/>
        </w:rPr>
        <w:t>0</w:t>
      </w:r>
      <w:r>
        <w:rPr>
          <w:rFonts w:ascii="Times New Roman" w:hAnsi="Times New Roman"/>
          <w:i/>
          <w:iCs/>
        </w:rPr>
        <w:t>，b,x）=C0+bx</w:t>
      </w:r>
      <w:r>
        <w:rPr>
          <w:rFonts w:hint="eastAsia" w:ascii="Times New Roman" w:hAnsi="Times New Roman"/>
        </w:rPr>
        <w:tab/>
      </w:r>
      <w:r>
        <w:rPr>
          <w:rFonts w:hint="eastAsia" w:ascii="Times New Roman" w:hAnsi="Times New Roman"/>
        </w:rPr>
        <w:t>（20）</w:t>
      </w:r>
    </w:p>
    <w:p w14:paraId="1B7BFADD">
      <w:pPr>
        <w:pStyle w:val="60"/>
        <w:spacing w:line="240" w:lineRule="auto"/>
        <w:ind w:firstLine="420"/>
      </w:pPr>
      <w:r>
        <w:rPr>
          <w:rFonts w:hint="eastAsia"/>
        </w:rPr>
        <w:t>式中：</w:t>
      </w:r>
    </w:p>
    <w:p w14:paraId="7E539EBD">
      <w:pPr>
        <w:pStyle w:val="61"/>
        <w:ind w:firstLine="420"/>
      </w:pPr>
      <w:r>
        <w:rPr>
          <w:rFonts w:hint="eastAsia" w:ascii="Times New Roman"/>
          <w:i/>
          <w:iCs/>
        </w:rPr>
        <w:t>C</w:t>
      </w:r>
      <w:r>
        <w:rPr>
          <w:rFonts w:hint="eastAsia" w:ascii="Times New Roman"/>
          <w:vertAlign w:val="subscript"/>
        </w:rPr>
        <w:t>0</w:t>
      </w:r>
      <w:r>
        <w:rPr>
          <w:rFonts w:ascii="Times New Roman"/>
          <w:vertAlign w:val="subscript"/>
        </w:rPr>
        <w:t xml:space="preserve"> </w:t>
      </w:r>
      <w:r>
        <w:rPr>
          <w:rFonts w:hint="eastAsia" w:ascii="微软雅黑" w:hAnsi="微软雅黑" w:eastAsia="微软雅黑" w:cs="微软雅黑"/>
        </w:rPr>
        <w:t>——</w:t>
      </w:r>
      <w:r>
        <w:rPr>
          <w:rFonts w:hint="eastAsia"/>
        </w:rPr>
        <w:t>稳定性周期初始状态特性值；</w:t>
      </w:r>
    </w:p>
    <w:p w14:paraId="68FDAA2D">
      <w:pPr>
        <w:pStyle w:val="61"/>
        <w:ind w:firstLine="420"/>
      </w:pPr>
      <w:r>
        <w:rPr>
          <w:rFonts w:hint="eastAsia" w:ascii="Times New Roman"/>
          <w:i/>
          <w:iCs/>
        </w:rPr>
        <w:t>b</w:t>
      </w:r>
      <w:r>
        <w:rPr>
          <w:rFonts w:ascii="Times New Roman"/>
          <w:vertAlign w:val="subscript"/>
        </w:rPr>
        <w:t xml:space="preserve"> </w:t>
      </w:r>
      <w:r>
        <w:rPr>
          <w:rFonts w:hint="eastAsia" w:ascii="微软雅黑" w:hAnsi="微软雅黑" w:eastAsia="微软雅黑" w:cs="微软雅黑"/>
        </w:rPr>
        <w:t>——</w:t>
      </w:r>
      <w:r>
        <w:rPr>
          <w:rFonts w:hint="eastAsia"/>
        </w:rPr>
        <w:t>退化方程斜率；</w:t>
      </w:r>
    </w:p>
    <w:p w14:paraId="66766161">
      <w:pPr>
        <w:pStyle w:val="61"/>
        <w:ind w:firstLine="420"/>
      </w:pPr>
      <w:r>
        <w:rPr>
          <w:rFonts w:ascii="Times New Roman"/>
          <w:i/>
          <w:iCs/>
        </w:rPr>
        <w:t>x</w:t>
      </w:r>
      <w:r>
        <w:rPr>
          <w:rFonts w:hint="eastAsia" w:ascii="微软雅黑" w:hAnsi="微软雅黑" w:eastAsia="微软雅黑" w:cs="微软雅黑"/>
        </w:rPr>
        <w:t>——</w:t>
      </w:r>
      <w:r>
        <w:rPr>
          <w:rFonts w:hint="eastAsia"/>
        </w:rPr>
        <w:t>时间。</w:t>
      </w:r>
    </w:p>
    <w:p w14:paraId="6682A8B1">
      <w:pPr>
        <w:pStyle w:val="61"/>
        <w:ind w:firstLine="420"/>
      </w:pPr>
      <w:r>
        <w:rPr>
          <w:rFonts w:hint="eastAsia"/>
        </w:rPr>
        <w:t>斜率</w:t>
      </w:r>
      <w:r>
        <w:rPr>
          <w:rFonts w:ascii="Times New Roman"/>
          <w:i/>
          <w:iCs/>
        </w:rPr>
        <w:t>b</w:t>
      </w:r>
      <w:r>
        <w:rPr>
          <w:rFonts w:hint="eastAsia"/>
        </w:rPr>
        <w:t>的不确定度：</w:t>
      </w:r>
    </w:p>
    <w:p w14:paraId="3D8E8211">
      <w:pPr>
        <w:pStyle w:val="61"/>
        <w:tabs>
          <w:tab w:val="center" w:pos="4095"/>
          <w:tab w:val="right" w:leader="middleDot" w:pos="8190"/>
        </w:tabs>
        <w:ind w:firstLine="420"/>
        <w:jc w:val="center"/>
      </w:pPr>
      <w:r>
        <w:rPr>
          <w:rFonts w:hint="eastAsia"/>
        </w:rPr>
        <w:tab/>
      </w:r>
      <w:r>
        <w:rPr>
          <w:rFonts w:ascii="Times New Roman"/>
          <w:position w:val="-40"/>
        </w:rPr>
        <w:object>
          <v:shape id="_x0000_i1055" o:spt="75" type="#_x0000_t75" style="height:43.1pt;width:86.2pt;" o:ole="t" filled="f" o:preferrelative="t" stroked="f" coordsize="21600,21600">
            <v:path/>
            <v:fill on="f" focussize="0,0"/>
            <v:stroke on="f" joinstyle="miter"/>
            <v:imagedata r:id="rId74" o:title=""/>
            <o:lock v:ext="edit" aspectratio="t"/>
            <w10:wrap type="none"/>
            <w10:anchorlock/>
          </v:shape>
          <o:OLEObject Type="Embed" ProgID="Equation.KSEE3" ShapeID="_x0000_i1055" DrawAspect="Content" ObjectID="_1468075755" r:id="rId73">
            <o:LockedField>false</o:LockedField>
          </o:OLEObject>
        </w:object>
      </w:r>
      <w:r>
        <w:rPr>
          <w:rFonts w:hint="eastAsia"/>
        </w:rPr>
        <w:tab/>
      </w:r>
      <w:r>
        <w:rPr>
          <w:rFonts w:ascii="Times New Roman"/>
        </w:rPr>
        <w:t>(21)</w:t>
      </w:r>
    </w:p>
    <w:p w14:paraId="1F209201">
      <w:pPr>
        <w:pStyle w:val="61"/>
        <w:tabs>
          <w:tab w:val="center" w:pos="4095"/>
          <w:tab w:val="right" w:leader="middleDot" w:pos="8190"/>
        </w:tabs>
        <w:ind w:firstLine="420"/>
        <w:jc w:val="center"/>
        <w:rPr>
          <w:rFonts w:ascii="Times New Roman"/>
        </w:rPr>
      </w:pPr>
      <w:r>
        <w:rPr>
          <w:rFonts w:hint="eastAsia" w:ascii="Times New Roman"/>
        </w:rPr>
        <w:tab/>
      </w:r>
      <w:r>
        <w:rPr>
          <w:rFonts w:ascii="Times New Roman"/>
          <w:position w:val="-26"/>
        </w:rPr>
        <w:object>
          <v:shape id="_x0000_i1056" o:spt="75" type="#_x0000_t75" style="height:36pt;width:93.8pt;" o:ole="t" filled="f" o:preferrelative="t" stroked="f" coordsize="21600,21600">
            <v:path/>
            <v:fill on="f" focussize="0,0"/>
            <v:stroke on="f" joinstyle="miter"/>
            <v:imagedata r:id="rId76" o:title=""/>
            <o:lock v:ext="edit" aspectratio="t"/>
            <w10:wrap type="none"/>
            <w10:anchorlock/>
          </v:shape>
          <o:OLEObject Type="Embed" ProgID="Equation.KSEE3" ShapeID="_x0000_i1056" DrawAspect="Content" ObjectID="_1468075756" r:id="rId75">
            <o:LockedField>false</o:LockedField>
          </o:OLEObject>
        </w:object>
      </w:r>
      <w:r>
        <w:rPr>
          <w:rFonts w:hint="eastAsia" w:ascii="Times New Roman"/>
        </w:rPr>
        <w:tab/>
      </w:r>
      <w:r>
        <w:rPr>
          <w:rFonts w:hint="eastAsia" w:ascii="Times New Roman"/>
        </w:rPr>
        <w:t>(22)</w:t>
      </w:r>
    </w:p>
    <w:p w14:paraId="3F8E034F">
      <w:pPr>
        <w:pStyle w:val="118"/>
        <w:tabs>
          <w:tab w:val="center" w:pos="4095"/>
          <w:tab w:val="right" w:leader="middleDot" w:pos="8190"/>
          <w:tab w:val="clear" w:pos="4678"/>
          <w:tab w:val="clear" w:pos="9356"/>
        </w:tabs>
        <w:ind w:firstLine="420" w:firstLineChars="200"/>
        <w:jc w:val="left"/>
        <w:rPr>
          <w:rFonts w:ascii="Times New Roman" w:hAnsi="Times New Roman"/>
        </w:rPr>
      </w:pPr>
      <w:r>
        <w:rPr>
          <w:rFonts w:hint="eastAsia" w:ascii="Times New Roman" w:hAnsi="Times New Roman"/>
        </w:rPr>
        <w:t>在</w:t>
      </w:r>
      <w:r>
        <w:rPr>
          <w:rFonts w:hint="eastAsia" w:ascii="Times New Roman" w:hAnsi="Times New Roman"/>
          <w:i/>
          <w:iCs/>
        </w:rPr>
        <w:t>x</w:t>
      </w:r>
      <w:r>
        <w:rPr>
          <w:rFonts w:hint="eastAsia" w:ascii="Times New Roman" w:hAnsi="Times New Roman"/>
        </w:rPr>
        <w:t>时刻，样品特性值的不确定度可以表示为：</w:t>
      </w:r>
    </w:p>
    <w:p w14:paraId="4621CA76">
      <w:pPr>
        <w:pStyle w:val="118"/>
        <w:tabs>
          <w:tab w:val="center" w:pos="4095"/>
          <w:tab w:val="right" w:leader="middleDot" w:pos="8190"/>
          <w:tab w:val="clear" w:pos="4678"/>
          <w:tab w:val="clear" w:pos="9356"/>
        </w:tabs>
        <w:jc w:val="center"/>
        <w:rPr>
          <w:rFonts w:ascii="Times New Roman" w:hAnsi="Times New Roman"/>
        </w:rPr>
      </w:pPr>
      <w:r>
        <w:rPr>
          <w:rFonts w:hint="eastAsia" w:ascii="Times New Roman" w:hAnsi="Times New Roman"/>
        </w:rPr>
        <w:tab/>
      </w:r>
      <w:r>
        <w:rPr>
          <w:rFonts w:ascii="Times New Roman" w:hAnsi="Times New Roman"/>
          <w:position w:val="-30"/>
        </w:rPr>
        <w:object>
          <v:shape id="_x0000_i1057" o:spt="75" type="#_x0000_t75" style="height:36pt;width:259.1pt;" o:ole="t" filled="f" o:preferrelative="t" stroked="f" coordsize="21600,21600">
            <v:path/>
            <v:fill on="f" focussize="0,0"/>
            <v:stroke on="f" joinstyle="miter"/>
            <v:imagedata r:id="rId78" o:title=""/>
            <o:lock v:ext="edit" aspectratio="t"/>
            <w10:wrap type="none"/>
            <w10:anchorlock/>
          </v:shape>
          <o:OLEObject Type="Embed" ProgID="Equation.KSEE3" ShapeID="_x0000_i1057" DrawAspect="Content" ObjectID="_1468075757" r:id="rId77">
            <o:LockedField>false</o:LockedField>
          </o:OLEObject>
        </w:object>
      </w:r>
      <w:r>
        <w:rPr>
          <w:rFonts w:hint="eastAsia" w:ascii="Times New Roman" w:hAnsi="Times New Roman"/>
        </w:rPr>
        <w:tab/>
      </w:r>
      <w:r>
        <w:rPr>
          <w:rFonts w:hint="eastAsia" w:ascii="Times New Roman" w:hAnsi="Times New Roman"/>
        </w:rPr>
        <w:t>（23）</w:t>
      </w:r>
    </w:p>
    <w:p w14:paraId="1960E5C3">
      <w:pPr>
        <w:pStyle w:val="118"/>
        <w:tabs>
          <w:tab w:val="center" w:pos="4095"/>
          <w:tab w:val="right" w:leader="middleDot" w:pos="8190"/>
          <w:tab w:val="clear" w:pos="4678"/>
          <w:tab w:val="clear" w:pos="9356"/>
        </w:tabs>
        <w:ind w:firstLine="420" w:firstLineChars="200"/>
        <w:jc w:val="left"/>
        <w:rPr>
          <w:rFonts w:ascii="Times New Roman" w:hAnsi="Times New Roman"/>
        </w:rPr>
      </w:pPr>
      <w:r>
        <w:rPr>
          <w:rFonts w:hint="eastAsia" w:ascii="Times New Roman" w:hAnsi="Times New Roman"/>
        </w:rPr>
        <w:t>同时，</w:t>
      </w:r>
      <w:r>
        <w:rPr>
          <w:rFonts w:ascii="Times New Roman" w:hAnsi="Times New Roman"/>
          <w:position w:val="-30"/>
        </w:rPr>
        <w:object>
          <v:shape id="_x0000_i1058" o:spt="75" type="#_x0000_t75" style="height:36pt;width:43.1pt;" o:ole="t" filled="f" o:preferrelative="t" stroked="f" coordsize="21600,21600">
            <v:path/>
            <v:fill on="f" focussize="0,0"/>
            <v:stroke on="f" joinstyle="miter"/>
            <v:imagedata r:id="rId80" o:title=""/>
            <o:lock v:ext="edit" aspectratio="t"/>
            <w10:wrap type="none"/>
            <w10:anchorlock/>
          </v:shape>
          <o:OLEObject Type="Embed" ProgID="Equation.KSEE3" ShapeID="_x0000_i1058" DrawAspect="Content" ObjectID="_1468075758" r:id="rId79">
            <o:LockedField>false</o:LockedField>
          </o:OLEObject>
        </w:object>
      </w:r>
      <w:r>
        <w:rPr>
          <w:rFonts w:ascii="Times New Roman" w:hAnsi="Times New Roman"/>
        </w:rPr>
        <w:t>，</w:t>
      </w:r>
      <w:r>
        <w:rPr>
          <w:rFonts w:ascii="Times New Roman" w:hAnsi="Times New Roman"/>
          <w:position w:val="-24"/>
        </w:rPr>
        <w:object>
          <v:shape id="_x0000_i1059" o:spt="75" type="#_x0000_t75" style="height:28.9pt;width:36pt;" o:ole="t" filled="f" o:preferrelative="t" stroked="f" coordsize="21600,21600">
            <v:path/>
            <v:fill on="f" focussize="0,0"/>
            <v:stroke on="f" joinstyle="miter"/>
            <v:imagedata r:id="rId82" o:title=""/>
            <o:lock v:ext="edit" aspectratio="t"/>
            <w10:wrap type="none"/>
            <w10:anchorlock/>
          </v:shape>
          <o:OLEObject Type="Embed" ProgID="Equation.KSEE3" ShapeID="_x0000_i1059" DrawAspect="Content" ObjectID="_1468075759" r:id="rId81">
            <o:LockedField>false</o:LockedField>
          </o:OLEObject>
        </w:object>
      </w:r>
      <w:r>
        <w:rPr>
          <w:rFonts w:ascii="Times New Roman" w:hAnsi="Times New Roman"/>
        </w:rPr>
        <w:t>，</w:t>
      </w:r>
      <w:r>
        <w:rPr>
          <w:rFonts w:ascii="Times New Roman" w:hAnsi="Times New Roman"/>
          <w:position w:val="-24"/>
        </w:rPr>
        <w:object>
          <v:shape id="_x0000_i1060" o:spt="75" type="#_x0000_t75" style="height:28.9pt;width:36pt;" o:ole="t" filled="f" o:preferrelative="t" stroked="f" coordsize="21600,21600">
            <v:path/>
            <v:fill on="f" focussize="0,0"/>
            <v:stroke on="f" joinstyle="miter"/>
            <v:imagedata r:id="rId84" o:title=""/>
            <o:lock v:ext="edit" aspectratio="t"/>
            <w10:wrap type="none"/>
            <w10:anchorlock/>
          </v:shape>
          <o:OLEObject Type="Embed" ProgID="Equation.KSEE3" ShapeID="_x0000_i1060" DrawAspect="Content" ObjectID="_1468075760" r:id="rId83">
            <o:LockedField>false</o:LockedField>
          </o:OLEObject>
        </w:object>
      </w:r>
    </w:p>
    <w:p w14:paraId="355B3BF6">
      <w:pPr>
        <w:pStyle w:val="118"/>
        <w:tabs>
          <w:tab w:val="center" w:pos="4095"/>
          <w:tab w:val="right" w:leader="middleDot" w:pos="8190"/>
          <w:tab w:val="clear" w:pos="4678"/>
          <w:tab w:val="clear" w:pos="9356"/>
        </w:tabs>
        <w:ind w:firstLine="420" w:firstLineChars="200"/>
        <w:jc w:val="left"/>
        <w:rPr>
          <w:rFonts w:ascii="Times New Roman" w:hAnsi="Times New Roman"/>
        </w:rPr>
      </w:pPr>
      <w:r>
        <w:rPr>
          <w:rFonts w:hint="eastAsia" w:ascii="Times New Roman" w:hAnsi="Times New Roman"/>
        </w:rPr>
        <w:t>其中：</w:t>
      </w:r>
      <w:r>
        <w:rPr>
          <w:rFonts w:hint="eastAsia" w:ascii="Times New Roman" w:hAnsi="Times New Roman"/>
          <w:i/>
          <w:iCs/>
        </w:rPr>
        <w:t>u</w:t>
      </w:r>
      <w:r>
        <w:rPr>
          <w:rFonts w:hint="eastAsia" w:ascii="Times New Roman" w:hAnsi="Times New Roman"/>
          <w:vertAlign w:val="subscript"/>
        </w:rPr>
        <w:t>(</w:t>
      </w:r>
      <w:r>
        <w:rPr>
          <w:rFonts w:hint="eastAsia" w:ascii="Times New Roman" w:hAnsi="Times New Roman"/>
          <w:i/>
          <w:iCs/>
          <w:vertAlign w:val="subscript"/>
        </w:rPr>
        <w:t>C0</w:t>
      </w:r>
      <w:r>
        <w:rPr>
          <w:rFonts w:hint="eastAsia" w:ascii="Times New Roman" w:hAnsi="Times New Roman"/>
          <w:vertAlign w:val="subscript"/>
        </w:rPr>
        <w:t>)</w:t>
      </w:r>
      <w:r>
        <w:rPr>
          <w:rFonts w:hint="eastAsia" w:ascii="Times New Roman" w:hAnsi="Times New Roman"/>
        </w:rPr>
        <w:t>为稳定性周期初始阶段该样品不确定度，即</w:t>
      </w:r>
      <w:r>
        <w:rPr>
          <w:rFonts w:hint="eastAsia" w:ascii="Times New Roman" w:hAnsi="Times New Roman"/>
          <w:position w:val="-12"/>
        </w:rPr>
        <w:object>
          <v:shape id="_x0000_i1061" o:spt="75" type="#_x0000_t75" style="height:21.8pt;width:100.9pt;" o:ole="t" filled="f" o:preferrelative="t" stroked="f" coordsize="21600,21600">
            <v:path/>
            <v:fill on="f" focussize="0,0"/>
            <v:stroke on="f" joinstyle="miter"/>
            <v:imagedata r:id="rId86" o:title=""/>
            <o:lock v:ext="edit" aspectratio="t"/>
            <w10:wrap type="none"/>
            <w10:anchorlock/>
          </v:shape>
          <o:OLEObject Type="Embed" ProgID="Equation.KSEE3" ShapeID="_x0000_i1061" DrawAspect="Content" ObjectID="_1468075761" r:id="rId85">
            <o:LockedField>false</o:LockedField>
          </o:OLEObject>
        </w:object>
      </w:r>
      <w:r>
        <w:rPr>
          <w:rFonts w:hint="eastAsia" w:ascii="Times New Roman" w:hAnsi="Times New Roman"/>
        </w:rPr>
        <w:t>；</w:t>
      </w:r>
    </w:p>
    <w:p w14:paraId="08182935">
      <w:pPr>
        <w:pStyle w:val="118"/>
        <w:tabs>
          <w:tab w:val="center" w:pos="4095"/>
          <w:tab w:val="right" w:leader="middleDot" w:pos="8190"/>
          <w:tab w:val="clear" w:pos="4678"/>
          <w:tab w:val="clear" w:pos="9356"/>
        </w:tabs>
        <w:ind w:firstLine="1050" w:firstLineChars="500"/>
        <w:jc w:val="left"/>
        <w:rPr>
          <w:rFonts w:ascii="Times New Roman" w:hAnsi="Times New Roman"/>
        </w:rPr>
      </w:pPr>
      <w:r>
        <w:rPr>
          <w:rFonts w:hint="eastAsia" w:ascii="Times New Roman" w:hAnsi="Times New Roman"/>
          <w:i/>
          <w:iCs/>
        </w:rPr>
        <w:t>u</w:t>
      </w:r>
      <w:r>
        <w:rPr>
          <w:rFonts w:hint="eastAsia" w:ascii="Times New Roman" w:hAnsi="Times New Roman"/>
          <w:vertAlign w:val="subscript"/>
        </w:rPr>
        <w:t>(</w:t>
      </w:r>
      <w:r>
        <w:rPr>
          <w:rFonts w:hint="eastAsia" w:ascii="Times New Roman" w:hAnsi="Times New Roman"/>
          <w:i/>
          <w:iCs/>
          <w:vertAlign w:val="subscript"/>
        </w:rPr>
        <w:t>x</w:t>
      </w:r>
      <w:r>
        <w:rPr>
          <w:rFonts w:hint="eastAsia" w:ascii="Times New Roman" w:hAnsi="Times New Roman"/>
          <w:vertAlign w:val="subscript"/>
        </w:rPr>
        <w:t>)</w:t>
      </w:r>
      <w:r>
        <w:rPr>
          <w:rFonts w:hint="eastAsia" w:ascii="Times New Roman" w:hAnsi="Times New Roman"/>
        </w:rPr>
        <w:t>为稳定性周期内时刻x的不确定度，该部分可记为0；</w:t>
      </w:r>
    </w:p>
    <w:p w14:paraId="21F18BC1">
      <w:pPr>
        <w:pStyle w:val="118"/>
        <w:tabs>
          <w:tab w:val="center" w:pos="4095"/>
          <w:tab w:val="right" w:leader="middleDot" w:pos="8190"/>
          <w:tab w:val="clear" w:pos="4678"/>
          <w:tab w:val="clear" w:pos="9356"/>
        </w:tabs>
        <w:ind w:firstLine="1050" w:firstLineChars="500"/>
        <w:jc w:val="left"/>
        <w:rPr>
          <w:rFonts w:hint="eastAsia" w:ascii="Times New Roman" w:hAnsi="Times New Roman"/>
        </w:rPr>
      </w:pPr>
      <w:r>
        <w:rPr>
          <w:rFonts w:hint="eastAsia" w:ascii="Times New Roman" w:hAnsi="Times New Roman"/>
          <w:i/>
          <w:iCs/>
        </w:rPr>
        <w:t>u</w:t>
      </w:r>
      <w:r>
        <w:rPr>
          <w:rFonts w:hint="eastAsia" w:ascii="Times New Roman" w:hAnsi="Times New Roman"/>
          <w:vertAlign w:val="subscript"/>
        </w:rPr>
        <w:t>(b)</w:t>
      </w:r>
      <w:r>
        <w:rPr>
          <w:rFonts w:hint="eastAsia" w:ascii="Times New Roman" w:hAnsi="Times New Roman"/>
        </w:rPr>
        <w:t>为退化方程斜率的不确定度。</w:t>
      </w:r>
    </w:p>
    <w:p w14:paraId="4A8B391D">
      <w:pPr>
        <w:pStyle w:val="110"/>
        <w:numPr>
          <w:ilvl w:val="2"/>
          <w:numId w:val="33"/>
        </w:numPr>
        <w:spacing w:before="156" w:after="156"/>
      </w:pPr>
      <w:r>
        <w:rPr>
          <w:rFonts w:hint="eastAsia"/>
        </w:rPr>
        <w:t>定值不确定度的评定</w:t>
      </w:r>
    </w:p>
    <w:p w14:paraId="5A1AEABF">
      <w:pPr>
        <w:pStyle w:val="61"/>
        <w:ind w:firstLine="420"/>
      </w:pPr>
      <w:r>
        <w:rPr>
          <w:rFonts w:hint="eastAsia"/>
        </w:rPr>
        <w:t>特性值定值不确定度为：</w:t>
      </w:r>
    </w:p>
    <w:p w14:paraId="55AC79BA">
      <w:pPr>
        <w:pStyle w:val="118"/>
        <w:tabs>
          <w:tab w:val="center" w:pos="4095"/>
          <w:tab w:val="right" w:leader="middleDot" w:pos="8190"/>
          <w:tab w:val="clear" w:pos="4678"/>
          <w:tab w:val="clear" w:pos="9356"/>
        </w:tabs>
        <w:jc w:val="center"/>
      </w:pPr>
      <w:r>
        <w:rPr>
          <w:rFonts w:hint="eastAsia"/>
        </w:rPr>
        <w:tab/>
      </w:r>
      <w:r>
        <w:rPr>
          <w:position w:val="-28"/>
        </w:rPr>
        <w:object>
          <v:shape id="_x0000_i1062" o:spt="75" type="#_x0000_t75" style="height:36pt;width:165.3pt;" o:ole="t" filled="f" o:preferrelative="t" stroked="f" coordsize="21600,21600">
            <v:path/>
            <v:fill on="f" focussize="0,0"/>
            <v:stroke on="f" joinstyle="miter"/>
            <v:imagedata r:id="rId88" o:title=""/>
            <o:lock v:ext="edit" aspectratio="t"/>
            <w10:wrap type="none"/>
            <w10:anchorlock/>
          </v:shape>
          <o:OLEObject Type="Embed" ProgID="Equation.KSEE3" ShapeID="_x0000_i1062" DrawAspect="Content" ObjectID="_1468075762" r:id="rId87">
            <o:LockedField>false</o:LockedField>
          </o:OLEObject>
        </w:object>
      </w:r>
      <w:r>
        <w:rPr>
          <w:rFonts w:hint="eastAsia" w:ascii="Times New Roman" w:hAnsi="Times New Roman"/>
          <w:i/>
          <w:kern w:val="0"/>
          <w:lang w:bidi="en-US"/>
        </w:rPr>
        <w:tab/>
      </w:r>
      <w:r>
        <w:rPr>
          <w:rFonts w:hint="eastAsia" w:ascii="Times New Roman" w:hAnsi="Times New Roman"/>
          <w:iCs/>
          <w:kern w:val="0"/>
          <w:lang w:bidi="en-US"/>
        </w:rPr>
        <w:t>（24）</w:t>
      </w:r>
    </w:p>
    <w:p w14:paraId="54C6B454">
      <w:pPr>
        <w:pStyle w:val="118"/>
      </w:pPr>
      <w:r>
        <w:tab/>
      </w:r>
    </w:p>
    <w:p w14:paraId="6600D999">
      <w:pPr>
        <w:pStyle w:val="60"/>
        <w:spacing w:line="240" w:lineRule="auto"/>
        <w:ind w:firstLine="420"/>
      </w:pPr>
      <w:r>
        <w:rPr>
          <w:rFonts w:hint="eastAsia"/>
        </w:rPr>
        <w:t>式中：</w:t>
      </w:r>
    </w:p>
    <w:p w14:paraId="49A8AFAD">
      <w:pPr>
        <w:pStyle w:val="61"/>
        <w:ind w:firstLine="420"/>
      </w:pPr>
      <w:r>
        <w:rPr>
          <w:rFonts w:ascii="Times New Roman"/>
          <w:i/>
          <w:iCs/>
        </w:rPr>
        <w:t>s</w:t>
      </w:r>
      <w:r>
        <w:rPr>
          <w:rFonts w:hint="eastAsia" w:ascii="微软雅黑" w:hAnsi="微软雅黑" w:eastAsia="微软雅黑" w:cs="微软雅黑"/>
        </w:rPr>
        <w:t>——</w:t>
      </w:r>
      <w:r>
        <w:rPr>
          <w:rFonts w:hint="eastAsia"/>
        </w:rPr>
        <w:t>n个数据组均值的标准差；</w:t>
      </w:r>
    </w:p>
    <w:p w14:paraId="67686BAB">
      <w:pPr>
        <w:pStyle w:val="61"/>
        <w:ind w:firstLine="420"/>
        <w:rPr>
          <w:rFonts w:hAnsi="宋体"/>
          <w:szCs w:val="21"/>
        </w:rPr>
      </w:pPr>
      <w:r>
        <w:rPr>
          <w:rFonts w:ascii="Times New Roman"/>
          <w:i/>
          <w:iCs/>
        </w:rPr>
        <w:t>n</w:t>
      </w:r>
      <w:r>
        <w:rPr>
          <w:rFonts w:hint="eastAsia" w:ascii="微软雅黑" w:hAnsi="微软雅黑" w:eastAsia="微软雅黑" w:cs="微软雅黑"/>
        </w:rPr>
        <w:t>——</w:t>
      </w:r>
      <w:r>
        <w:rPr>
          <w:rFonts w:hint="eastAsia" w:hAnsi="宋体"/>
          <w:szCs w:val="21"/>
        </w:rPr>
        <w:t>参与定值的实验室或方法或感官定值人员的数量；</w:t>
      </w:r>
    </w:p>
    <w:p w14:paraId="2BF76793">
      <w:pPr>
        <w:pStyle w:val="61"/>
        <w:ind w:firstLine="420"/>
        <w:rPr>
          <w:rFonts w:hAnsi="宋体"/>
          <w:szCs w:val="21"/>
        </w:rPr>
      </w:pPr>
      <w:r>
        <w:rPr>
          <w:rFonts w:ascii="Times New Roman"/>
          <w:i/>
          <w:iCs/>
        </w:rPr>
        <w:t>y</w:t>
      </w:r>
      <w:r>
        <w:rPr>
          <w:rFonts w:hint="eastAsia" w:ascii="微软雅黑" w:hAnsi="微软雅黑" w:eastAsia="微软雅黑" w:cs="微软雅黑"/>
        </w:rPr>
        <w:t>——</w:t>
      </w:r>
      <w:r>
        <w:rPr>
          <w:rFonts w:hint="eastAsia" w:hAnsi="宋体"/>
          <w:szCs w:val="21"/>
        </w:rPr>
        <w:t>各实验室或方法或感官定值人员产生的</w:t>
      </w:r>
      <w:r>
        <w:rPr>
          <w:rFonts w:hAnsi="宋体"/>
          <w:szCs w:val="21"/>
        </w:rPr>
        <w:t>特性值</w:t>
      </w:r>
      <w:r>
        <w:rPr>
          <w:rFonts w:hint="eastAsia" w:hAnsi="宋体"/>
          <w:szCs w:val="21"/>
        </w:rPr>
        <w:t>；</w:t>
      </w:r>
    </w:p>
    <w:p w14:paraId="4D4D2DD2">
      <w:pPr>
        <w:pStyle w:val="61"/>
        <w:ind w:firstLine="420"/>
        <w:rPr>
          <w:rFonts w:hAnsi="宋体"/>
          <w:szCs w:val="21"/>
        </w:rPr>
      </w:pPr>
      <w:r>
        <w:rPr>
          <w:rFonts w:ascii="Times New Roman"/>
          <w:i/>
          <w:iCs/>
        </w:rPr>
        <w:t>u</w:t>
      </w:r>
      <w:r>
        <w:rPr>
          <w:rFonts w:ascii="Times New Roman"/>
          <w:vertAlign w:val="subscript"/>
        </w:rPr>
        <w:t>char</w:t>
      </w:r>
      <w:r>
        <w:rPr>
          <w:rFonts w:hint="eastAsia" w:ascii="微软雅黑" w:hAnsi="微软雅黑" w:eastAsia="微软雅黑" w:cs="微软雅黑"/>
        </w:rPr>
        <w:t>——</w:t>
      </w:r>
      <w:r>
        <w:rPr>
          <w:rFonts w:hint="eastAsia" w:hAnsi="宋体"/>
          <w:szCs w:val="21"/>
        </w:rPr>
        <w:t>特性值定值的不确定度。</w:t>
      </w:r>
    </w:p>
    <w:p w14:paraId="24E3ACB4">
      <w:pPr>
        <w:pStyle w:val="110"/>
        <w:numPr>
          <w:ilvl w:val="2"/>
          <w:numId w:val="33"/>
        </w:numPr>
        <w:spacing w:before="156" w:after="156"/>
      </w:pPr>
      <w:r>
        <w:rPr>
          <w:rFonts w:hint="eastAsia"/>
        </w:rPr>
        <w:t>赋值和总体不确定度评定</w:t>
      </w:r>
    </w:p>
    <w:p w14:paraId="4D653FF2">
      <w:pPr>
        <w:pStyle w:val="61"/>
        <w:ind w:firstLine="420"/>
      </w:pPr>
      <w:r>
        <w:rPr>
          <w:rFonts w:hint="eastAsia"/>
        </w:rPr>
        <w:t>赋值是对均匀性、稳定性评估以及定值得到的结果进行合并的过程，实物标样总体不确定度公式为：</w:t>
      </w:r>
    </w:p>
    <w:p w14:paraId="4052F67D">
      <w:pPr>
        <w:pStyle w:val="118"/>
        <w:tabs>
          <w:tab w:val="center" w:pos="4095"/>
          <w:tab w:val="right" w:leader="middleDot" w:pos="8190"/>
          <w:tab w:val="clear" w:pos="4678"/>
          <w:tab w:val="clear" w:pos="9356"/>
        </w:tabs>
        <w:jc w:val="center"/>
      </w:pPr>
      <w:r>
        <w:rPr>
          <w:rFonts w:hint="eastAsia"/>
        </w:rPr>
        <w:tab/>
      </w:r>
      <w:r>
        <w:rPr>
          <w:position w:val="-12"/>
        </w:rPr>
        <w:object>
          <v:shape id="_x0000_i1063" o:spt="75" type="#_x0000_t75" style="height:21.8pt;width:136.9pt;" o:ole="t" filled="f" o:preferrelative="t" stroked="f" coordsize="21600,21600">
            <v:path/>
            <v:fill on="f" focussize="0,0"/>
            <v:stroke on="f" joinstyle="miter"/>
            <v:imagedata r:id="rId90" o:title=""/>
            <o:lock v:ext="edit" aspectratio="t"/>
            <w10:wrap type="none"/>
            <w10:anchorlock/>
          </v:shape>
          <o:OLEObject Type="Embed" ProgID="Equation.KSEE3" ShapeID="_x0000_i1063" DrawAspect="Content" ObjectID="_1468075763" r:id="rId89">
            <o:LockedField>false</o:LockedField>
          </o:OLEObject>
        </w:object>
      </w:r>
      <w:r>
        <w:rPr>
          <w:rFonts w:hint="eastAsia" w:ascii="Times New Roman" w:hAnsi="Times New Roman"/>
          <w:i/>
          <w:kern w:val="0"/>
          <w:lang w:bidi="en-US"/>
        </w:rPr>
        <w:tab/>
      </w:r>
      <w:r>
        <w:rPr>
          <w:rFonts w:hint="eastAsia" w:ascii="Times New Roman" w:hAnsi="Times New Roman"/>
          <w:iCs/>
          <w:kern w:val="0"/>
          <w:lang w:bidi="en-US"/>
        </w:rPr>
        <w:t>（25）</w:t>
      </w:r>
    </w:p>
    <w:p w14:paraId="49C6EF81">
      <w:pPr>
        <w:pStyle w:val="60"/>
        <w:spacing w:line="240" w:lineRule="auto"/>
        <w:ind w:firstLine="420"/>
      </w:pPr>
      <w:r>
        <w:rPr>
          <w:rFonts w:hint="eastAsia"/>
        </w:rPr>
        <w:t>式中：</w:t>
      </w:r>
    </w:p>
    <w:p w14:paraId="6FDEF663">
      <w:pPr>
        <w:pStyle w:val="61"/>
        <w:ind w:firstLine="420"/>
        <w:rPr>
          <w:rFonts w:hAnsi="宋体"/>
          <w:szCs w:val="21"/>
        </w:rPr>
      </w:pPr>
      <w:r>
        <w:rPr>
          <w:position w:val="-12"/>
          <w:vertAlign w:val="subscript"/>
        </w:rPr>
        <w:object>
          <v:shape id="_x0000_i1064" o:spt="75" type="#_x0000_t75" style="height:18pt;width:26.05pt;" o:ole="t" filled="f" o:preferrelative="t" stroked="f" coordsize="21600,21600">
            <v:path/>
            <v:fill on="f" focussize="0,0"/>
            <v:stroke on="f" joinstyle="miter"/>
            <v:imagedata r:id="rId92" o:title=""/>
            <o:lock v:ext="edit" aspectratio="t"/>
            <w10:wrap type="none"/>
            <w10:anchorlock/>
          </v:shape>
          <o:OLEObject Type="Embed" ProgID="Equation.KSEE3" ShapeID="_x0000_i1064" DrawAspect="Content" ObjectID="_1468075764" r:id="rId91">
            <o:LockedField>false</o:LockedField>
          </o:OLEObject>
        </w:object>
      </w:r>
      <w:r>
        <w:rPr>
          <w:vertAlign w:val="subscript"/>
        </w:rPr>
        <w:t xml:space="preserve"> </w:t>
      </w:r>
      <w:r>
        <w:rPr>
          <w:rFonts w:hint="eastAsia" w:ascii="微软雅黑" w:hAnsi="微软雅黑" w:eastAsia="微软雅黑" w:cs="微软雅黑"/>
        </w:rPr>
        <w:t>——</w:t>
      </w:r>
      <w:r>
        <w:rPr>
          <w:rFonts w:hint="eastAsia" w:hAnsi="宋体"/>
          <w:szCs w:val="21"/>
        </w:rPr>
        <w:t>总体不确定度；</w:t>
      </w:r>
    </w:p>
    <w:p w14:paraId="579F1B97">
      <w:pPr>
        <w:pStyle w:val="61"/>
        <w:ind w:firstLine="420"/>
        <w:rPr>
          <w:rFonts w:hAnsi="宋体"/>
          <w:szCs w:val="21"/>
        </w:rPr>
      </w:pPr>
      <w:r>
        <w:rPr>
          <w:rFonts w:hint="eastAsia" w:ascii="微软雅黑" w:hAnsi="微软雅黑" w:eastAsia="微软雅黑" w:cs="微软雅黑"/>
          <w:position w:val="-12"/>
        </w:rPr>
        <w:object>
          <v:shape id="_x0000_i1065" o:spt="75" type="#_x0000_t75" style="height:18pt;width:23.2pt;" o:ole="t" filled="f" o:preferrelative="t" stroked="f" coordsize="21600,21600">
            <v:path/>
            <v:fill on="f" focussize="0,0"/>
            <v:stroke on="f" joinstyle="miter"/>
            <v:imagedata r:id="rId94" o:title=""/>
            <o:lock v:ext="edit" aspectratio="t"/>
            <w10:wrap type="none"/>
            <w10:anchorlock/>
          </v:shape>
          <o:OLEObject Type="Embed" ProgID="Equation.KSEE3" ShapeID="_x0000_i1065" DrawAspect="Content" ObjectID="_1468075765" r:id="rId93">
            <o:LockedField>false</o:LockedField>
          </o:OLEObject>
        </w:object>
      </w:r>
      <w:r>
        <w:rPr>
          <w:rFonts w:hint="eastAsia" w:ascii="微软雅黑" w:hAnsi="微软雅黑" w:eastAsia="微软雅黑" w:cs="微软雅黑"/>
        </w:rPr>
        <w:t>——</w:t>
      </w:r>
      <w:r>
        <w:rPr>
          <w:rFonts w:hint="eastAsia" w:hAnsi="宋体"/>
          <w:szCs w:val="21"/>
        </w:rPr>
        <w:t>特性值定值的不确定度；</w:t>
      </w:r>
    </w:p>
    <w:p w14:paraId="0DF251CA">
      <w:pPr>
        <w:pStyle w:val="61"/>
        <w:ind w:firstLine="420"/>
      </w:pPr>
      <w:r>
        <w:rPr>
          <w:rFonts w:hint="eastAsia" w:ascii="微软雅黑" w:hAnsi="微软雅黑" w:eastAsia="微软雅黑" w:cs="微软雅黑"/>
          <w:position w:val="-12"/>
        </w:rPr>
        <w:object>
          <v:shape id="_x0000_i1066" o:spt="75" type="#_x0000_t75" style="height:18pt;width:18pt;" o:ole="t" filled="f" o:preferrelative="t" stroked="f" coordsize="21600,21600">
            <v:path/>
            <v:fill on="f" focussize="0,0"/>
            <v:stroke on="f" joinstyle="miter"/>
            <v:imagedata r:id="rId96" o:title=""/>
            <o:lock v:ext="edit" aspectratio="t"/>
            <w10:wrap type="none"/>
            <w10:anchorlock/>
          </v:shape>
          <o:OLEObject Type="Embed" ProgID="Equation.KSEE3" ShapeID="_x0000_i1066" DrawAspect="Content" ObjectID="_1468075766" r:id="rId95">
            <o:LockedField>false</o:LockedField>
          </o:OLEObject>
        </w:object>
      </w:r>
      <w:r>
        <w:rPr>
          <w:rFonts w:hint="eastAsia" w:ascii="微软雅黑" w:hAnsi="微软雅黑" w:eastAsia="微软雅黑" w:cs="微软雅黑"/>
        </w:rPr>
        <w:t>——</w:t>
      </w:r>
      <w:r>
        <w:rPr>
          <w:rFonts w:hint="eastAsia" w:hAnsi="宋体"/>
          <w:szCs w:val="21"/>
        </w:rPr>
        <w:t>稳定性评估的不确定度，包括长期稳定性、运输或其它短期稳定性；</w:t>
      </w:r>
    </w:p>
    <w:p w14:paraId="2438755F">
      <w:pPr>
        <w:pStyle w:val="61"/>
        <w:ind w:firstLine="420"/>
        <w:rPr>
          <w:rFonts w:hAnsi="宋体"/>
          <w:szCs w:val="21"/>
        </w:rPr>
      </w:pPr>
      <w:r>
        <w:rPr>
          <w:rFonts w:hint="eastAsia" w:ascii="微软雅黑" w:hAnsi="微软雅黑" w:eastAsia="微软雅黑" w:cs="微软雅黑"/>
          <w:position w:val="-12"/>
        </w:rPr>
        <w:object>
          <v:shape id="_x0000_i1067" o:spt="75" type="#_x0000_t75" style="height:18pt;width:23.2pt;" o:ole="t" filled="f" o:preferrelative="t" stroked="f" coordsize="21600,21600">
            <v:path/>
            <v:fill on="f" focussize="0,0"/>
            <v:stroke on="f" joinstyle="miter"/>
            <v:imagedata r:id="rId98" o:title=""/>
            <o:lock v:ext="edit" aspectratio="t"/>
            <w10:wrap type="none"/>
            <w10:anchorlock/>
          </v:shape>
          <o:OLEObject Type="Embed" ProgID="Equation.KSEE3" ShapeID="_x0000_i1067" DrawAspect="Content" ObjectID="_1468075767" r:id="rId97">
            <o:LockedField>false</o:LockedField>
          </o:OLEObject>
        </w:object>
      </w:r>
      <w:r>
        <w:rPr>
          <w:rFonts w:hint="eastAsia" w:ascii="微软雅黑" w:hAnsi="微软雅黑" w:eastAsia="微软雅黑" w:cs="微软雅黑"/>
        </w:rPr>
        <w:t>——</w:t>
      </w:r>
      <w:r>
        <w:rPr>
          <w:rFonts w:hint="eastAsia" w:hAnsi="宋体"/>
          <w:szCs w:val="21"/>
        </w:rPr>
        <w:t>均匀性评估的不确定度。</w:t>
      </w:r>
    </w:p>
    <w:p w14:paraId="24FB7FD3">
      <w:pPr>
        <w:pStyle w:val="61"/>
        <w:ind w:firstLine="420"/>
        <w:rPr>
          <w:rFonts w:hAnsi="宋体"/>
          <w:szCs w:val="21"/>
        </w:rPr>
      </w:pPr>
      <w:r>
        <w:rPr>
          <w:rFonts w:hint="eastAsia" w:hAnsi="宋体"/>
          <w:szCs w:val="21"/>
        </w:rPr>
        <w:t>样品赋值结果为：</w:t>
      </w:r>
    </w:p>
    <w:p w14:paraId="5F6391F9">
      <w:pPr>
        <w:pStyle w:val="118"/>
        <w:tabs>
          <w:tab w:val="center" w:pos="4095"/>
          <w:tab w:val="right" w:leader="middleDot" w:pos="8190"/>
          <w:tab w:val="clear" w:pos="4678"/>
          <w:tab w:val="clear" w:pos="9356"/>
        </w:tabs>
        <w:jc w:val="center"/>
      </w:pPr>
      <w:r>
        <w:rPr>
          <w:rFonts w:hint="eastAsia"/>
        </w:rPr>
        <w:tab/>
      </w:r>
      <w:r>
        <w:rPr>
          <w:position w:val="-12"/>
        </w:rPr>
        <w:object>
          <v:shape id="_x0000_i1068" o:spt="75" type="#_x0000_t75" style="height:22.25pt;width:115.1pt;" o:ole="t" filled="f" o:preferrelative="t" stroked="f" coordsize="21600,21600">
            <v:path/>
            <v:fill on="f" focussize="0,0"/>
            <v:stroke on="f" joinstyle="miter"/>
            <v:imagedata r:id="rId100" o:title=""/>
            <o:lock v:ext="edit" aspectratio="t"/>
            <w10:wrap type="none"/>
            <w10:anchorlock/>
          </v:shape>
          <o:OLEObject Type="Embed" ProgID="Equation.KSEE3" ShapeID="_x0000_i1068" DrawAspect="Content" ObjectID="_1468075768" r:id="rId99">
            <o:LockedField>false</o:LockedField>
          </o:OLEObject>
        </w:object>
      </w:r>
      <w:r>
        <w:rPr>
          <w:rFonts w:hint="eastAsia"/>
        </w:rPr>
        <w:tab/>
      </w:r>
      <w:r>
        <w:rPr>
          <w:rFonts w:ascii="Times New Roman" w:hAnsi="Times New Roman"/>
        </w:rPr>
        <w:t>（2</w:t>
      </w:r>
      <w:r>
        <w:rPr>
          <w:rFonts w:hint="eastAsia" w:ascii="Times New Roman" w:hAnsi="Times New Roman"/>
        </w:rPr>
        <w:t>6</w:t>
      </w:r>
      <w:r>
        <w:rPr>
          <w:rFonts w:ascii="Times New Roman" w:hAnsi="Times New Roman"/>
        </w:rPr>
        <w:t>）</w:t>
      </w:r>
    </w:p>
    <w:p w14:paraId="09E3F2E0">
      <w:pPr>
        <w:pStyle w:val="60"/>
        <w:spacing w:line="240" w:lineRule="auto"/>
        <w:ind w:firstLine="420"/>
      </w:pPr>
      <w:r>
        <w:rPr>
          <w:rFonts w:hint="eastAsia"/>
        </w:rPr>
        <w:t>式中：</w:t>
      </w:r>
    </w:p>
    <w:p w14:paraId="08E920B1">
      <w:pPr>
        <w:pStyle w:val="61"/>
        <w:ind w:firstLine="420"/>
        <w:rPr>
          <w:rFonts w:hAnsi="宋体"/>
          <w:szCs w:val="21"/>
        </w:rPr>
      </w:pPr>
      <w:r>
        <w:rPr>
          <w:rFonts w:hint="eastAsia" w:ascii="Times New Roman"/>
        </w:rPr>
        <w:t>x</w:t>
      </w:r>
      <w:r>
        <w:rPr>
          <w:rFonts w:ascii="Times New Roman" w:hAnsi="Times New Roman" w:cs="Times New Roman"/>
          <w:i/>
          <w:iCs/>
          <w:vertAlign w:val="subscript"/>
        </w:rPr>
        <w:t>CRM</w:t>
      </w:r>
      <w:r>
        <w:rPr>
          <w:rFonts w:ascii="Times New Roman" w:hAnsi="Times New Roman" w:cs="Times New Roman"/>
          <w:i/>
          <w:iCs/>
          <w:vertAlign w:val="subscript"/>
        </w:rPr>
        <w:t xml:space="preserve"> </w:t>
      </w:r>
      <w:r>
        <w:rPr>
          <w:rFonts w:hint="eastAsia" w:ascii="微软雅黑" w:hAnsi="微软雅黑" w:eastAsia="微软雅黑" w:cs="微软雅黑"/>
        </w:rPr>
        <w:t>——</w:t>
      </w:r>
      <w:r>
        <w:rPr>
          <w:rFonts w:hAnsi="宋体"/>
          <w:szCs w:val="21"/>
        </w:rPr>
        <w:t>特性值</w:t>
      </w:r>
      <w:r>
        <w:rPr>
          <w:rFonts w:hint="eastAsia" w:hAnsi="宋体"/>
          <w:szCs w:val="21"/>
        </w:rPr>
        <w:t>；</w:t>
      </w:r>
    </w:p>
    <w:p w14:paraId="7297EB4F">
      <w:pPr>
        <w:pStyle w:val="61"/>
        <w:ind w:firstLine="420"/>
        <w:rPr>
          <w:rFonts w:hAnsi="宋体"/>
          <w:szCs w:val="21"/>
        </w:rPr>
      </w:pPr>
      <w:r>
        <w:rPr>
          <w:rFonts w:hint="eastAsia" w:ascii="Cambria Math" w:hAnsi="Cambria Math" w:cs="Cambria Math"/>
        </w:rPr>
        <w:t>y</w:t>
      </w:r>
      <w:r>
        <w:rPr>
          <w:rFonts w:ascii="Cambria Math" w:hAnsi="Cambria Math" w:cs="Cambria Math"/>
          <w:vertAlign w:val="subscript"/>
        </w:rPr>
        <w:t>char</w:t>
      </w:r>
      <w:r>
        <w:rPr>
          <w:rFonts w:hint="eastAsia" w:ascii="Cambria Math" w:hAnsi="Cambria Math" w:cs="Cambria Math"/>
          <w:vertAlign w:val="subscript"/>
        </w:rPr>
        <w:t xml:space="preserve"> </w:t>
      </w:r>
      <w:r>
        <w:rPr>
          <w:rFonts w:hint="eastAsia" w:ascii="微软雅黑" w:hAnsi="微软雅黑" w:eastAsia="微软雅黑" w:cs="微软雅黑"/>
        </w:rPr>
        <w:t>——</w:t>
      </w:r>
      <w:r>
        <w:rPr>
          <w:rFonts w:hint="eastAsia" w:hAnsi="宋体"/>
          <w:szCs w:val="21"/>
        </w:rPr>
        <w:t>由该批定值得到的特性值或单个制品定值得到的特性值；</w:t>
      </w:r>
    </w:p>
    <w:p w14:paraId="492B1AB4">
      <w:pPr>
        <w:pStyle w:val="61"/>
        <w:ind w:firstLine="420"/>
      </w:pPr>
      <w:r>
        <w:rPr>
          <w:rFonts w:hint="eastAsia" w:ascii="微软雅黑" w:hAnsi="微软雅黑" w:eastAsia="微软雅黑" w:cs="微软雅黑"/>
          <w:position w:val="-12"/>
        </w:rPr>
        <w:object>
          <v:shape id="_x0000_i1069" o:spt="75" type="#_x0000_t75" style="height:18pt;width:23.2pt;" o:ole="t" filled="f" o:preferrelative="t" stroked="f" coordsize="21600,21600">
            <v:path/>
            <v:fill on="f" focussize="0,0"/>
            <v:stroke on="f" joinstyle="miter"/>
            <v:imagedata r:id="rId102" o:title=""/>
            <o:lock v:ext="edit" aspectratio="t"/>
            <w10:wrap type="none"/>
            <w10:anchorlock/>
          </v:shape>
          <o:OLEObject Type="Embed" ProgID="Equation.KSEE3" ShapeID="_x0000_i1069" DrawAspect="Content" ObjectID="_1468075769" r:id="rId101">
            <o:LockedField>false</o:LockedField>
          </o:OLEObject>
        </w:object>
      </w:r>
      <w:r>
        <w:rPr>
          <w:rFonts w:hint="eastAsia" w:ascii="微软雅黑" w:hAnsi="微软雅黑" w:eastAsia="微软雅黑" w:cs="微软雅黑"/>
        </w:rPr>
        <w:t>——</w:t>
      </w:r>
      <w:r>
        <w:rPr>
          <w:rFonts w:hint="eastAsia"/>
        </w:rPr>
        <w:t>不均匀性误差项，包含单元间变异以及单元内不均匀性的必要补偿；</w:t>
      </w:r>
    </w:p>
    <w:p w14:paraId="15AC3F8A">
      <w:pPr>
        <w:pStyle w:val="61"/>
        <w:ind w:firstLine="420"/>
      </w:pPr>
      <w:r>
        <w:rPr>
          <w:rFonts w:hint="eastAsia" w:ascii="微软雅黑" w:hAnsi="微软雅黑" w:eastAsia="微软雅黑" w:cs="微软雅黑"/>
          <w:position w:val="-12"/>
        </w:rPr>
        <w:object>
          <v:shape id="_x0000_i1070" o:spt="75" type="#_x0000_t75" style="height:18pt;width:18pt;" o:ole="t" filled="f" o:preferrelative="t" stroked="f" coordsize="21600,21600">
            <v:path/>
            <v:fill on="f" focussize="0,0"/>
            <v:stroke on="f" joinstyle="miter"/>
            <v:imagedata r:id="rId104" o:title=""/>
            <o:lock v:ext="edit" aspectratio="t"/>
            <w10:wrap type="none"/>
            <w10:anchorlock/>
          </v:shape>
          <o:OLEObject Type="Embed" ProgID="Equation.KSEE3" ShapeID="_x0000_i1070" DrawAspect="Content" ObjectID="_1468075770" r:id="rId103">
            <o:LockedField>false</o:LockedField>
          </o:OLEObject>
        </w:object>
      </w:r>
      <w:r>
        <w:rPr>
          <w:rFonts w:hint="eastAsia" w:ascii="微软雅黑" w:hAnsi="微软雅黑" w:eastAsia="微软雅黑" w:cs="微软雅黑"/>
        </w:rPr>
        <w:t>——</w:t>
      </w:r>
      <w:r>
        <w:rPr>
          <w:rFonts w:hint="eastAsia"/>
        </w:rPr>
        <w:t>储存条件下稳定性影响的误差项。</w:t>
      </w:r>
    </w:p>
    <w:p w14:paraId="0C0E43F0">
      <w:pPr>
        <w:pStyle w:val="109"/>
        <w:numPr>
          <w:ilvl w:val="1"/>
          <w:numId w:val="33"/>
        </w:numPr>
        <w:spacing w:before="312" w:after="312"/>
      </w:pPr>
      <w:bookmarkStart w:id="45" w:name="_Toc20110"/>
      <w:r>
        <w:rPr>
          <w:rFonts w:hint="eastAsia"/>
        </w:rPr>
        <w:t>文件和信息编制</w:t>
      </w:r>
      <w:bookmarkEnd w:id="45"/>
    </w:p>
    <w:p w14:paraId="1A510783">
      <w:pPr>
        <w:pStyle w:val="110"/>
        <w:numPr>
          <w:ilvl w:val="2"/>
          <w:numId w:val="33"/>
        </w:numPr>
        <w:spacing w:before="0" w:beforeLines="0" w:after="0" w:afterLines="0"/>
        <w:rPr>
          <w:rFonts w:ascii="Times New Roman" w:eastAsia="宋体"/>
        </w:rPr>
      </w:pPr>
      <w:r>
        <w:rPr>
          <w:rFonts w:ascii="Times New Roman" w:eastAsia="宋体"/>
        </w:rPr>
        <w:t>实物标样应编制研制报告，应包括但不限于研制策划、原料来源、加工制备、均匀性评估、稳定性评估、定值、方法确认及溯源性、不确定度评定、包装和保存等信息，并提供充分的数据及分析信息。</w:t>
      </w:r>
    </w:p>
    <w:p w14:paraId="3199DE58">
      <w:pPr>
        <w:pStyle w:val="110"/>
        <w:numPr>
          <w:ilvl w:val="2"/>
          <w:numId w:val="33"/>
        </w:numPr>
        <w:spacing w:before="0" w:beforeLines="0" w:after="0" w:afterLines="0"/>
        <w:rPr>
          <w:rFonts w:ascii="Times New Roman" w:eastAsia="宋体"/>
        </w:rPr>
      </w:pPr>
      <w:r>
        <w:rPr>
          <w:rFonts w:ascii="Times New Roman" w:eastAsia="宋体"/>
        </w:rPr>
        <w:t>有证实物标样应同时具备证书与标签，证书与标签的编写规则按照</w:t>
      </w:r>
      <w:r>
        <w:rPr>
          <w:rFonts w:hint="eastAsia" w:ascii="Times New Roman" w:eastAsia="宋体"/>
        </w:rPr>
        <w:t>权威机构</w:t>
      </w:r>
      <w:r>
        <w:rPr>
          <w:rFonts w:ascii="Times New Roman" w:eastAsia="宋体"/>
        </w:rPr>
        <w:t>执行。</w:t>
      </w:r>
    </w:p>
    <w:p w14:paraId="76F3A0D2">
      <w:pPr>
        <w:pStyle w:val="110"/>
        <w:numPr>
          <w:ilvl w:val="2"/>
          <w:numId w:val="33"/>
        </w:numPr>
        <w:spacing w:before="0" w:beforeLines="0" w:after="0" w:afterLines="0"/>
        <w:rPr>
          <w:rFonts w:ascii="Times New Roman" w:eastAsia="宋体"/>
        </w:rPr>
      </w:pPr>
      <w:r>
        <w:rPr>
          <w:rFonts w:hint="eastAsia" w:ascii="Times New Roman" w:eastAsia="宋体"/>
          <w:highlight w:val="none"/>
        </w:rPr>
        <w:t>质控实物标样</w:t>
      </w:r>
      <w:r>
        <w:rPr>
          <w:rFonts w:ascii="Times New Roman" w:eastAsia="宋体"/>
          <w:highlight w:val="none"/>
        </w:rPr>
        <w:t>应具</w:t>
      </w:r>
      <w:r>
        <w:rPr>
          <w:rFonts w:ascii="Times New Roman" w:eastAsia="宋体"/>
        </w:rPr>
        <w:t>备清晰的标签，以便于样品信息明确联系，标签内容包括并不限于，名称和描述、编号和/或批号、制备日期、储存条件、有效期、最小包装单元、危害性或安全性标志等。</w:t>
      </w:r>
    </w:p>
    <w:bookmarkEnd w:id="14"/>
    <w:p w14:paraId="7B6D83BC">
      <w:pPr>
        <w:pStyle w:val="61"/>
        <w:ind w:firstLine="0" w:firstLineChars="0"/>
        <w:jc w:val="center"/>
      </w:pPr>
      <w:bookmarkStart w:id="46" w:name="BookMark8"/>
    </w:p>
    <w:p w14:paraId="3363AF6B">
      <w:pPr>
        <w:pStyle w:val="61"/>
        <w:ind w:firstLine="0" w:firstLineChars="0"/>
        <w:jc w:val="center"/>
      </w:pPr>
    </w:p>
    <w:p w14:paraId="124D79E9">
      <w:r>
        <w:rPr>
          <w:rFonts w:hint="eastAsia"/>
        </w:rPr>
        <w:br w:type="page"/>
      </w:r>
    </w:p>
    <w:p w14:paraId="691F9D5E">
      <w:pPr>
        <w:pStyle w:val="14"/>
        <w:widowControl/>
        <w:kinsoku w:val="0"/>
        <w:autoSpaceDE w:val="0"/>
        <w:autoSpaceDN w:val="0"/>
        <w:snapToGrid w:val="0"/>
        <w:spacing w:line="360" w:lineRule="auto"/>
        <w:jc w:val="center"/>
        <w:textAlignment w:val="baseline"/>
        <w:rPr>
          <w:rFonts w:ascii="Times New Roman" w:hAnsi="Times New Roman" w:eastAsia="黑体"/>
          <w:spacing w:val="-9"/>
          <w:position w:val="8"/>
        </w:rPr>
      </w:pPr>
      <w:r>
        <w:rPr>
          <w:rFonts w:ascii="Times New Roman" w:hAnsi="Times New Roman" w:eastAsia="黑体"/>
          <w:spacing w:val="-9"/>
          <w:position w:val="8"/>
        </w:rPr>
        <w:t xml:space="preserve">附  录  </w:t>
      </w:r>
      <w:r>
        <w:rPr>
          <w:rFonts w:hint="eastAsia" w:ascii="Times New Roman" w:hAnsi="Times New Roman" w:eastAsia="黑体"/>
          <w:spacing w:val="-9"/>
          <w:position w:val="8"/>
        </w:rPr>
        <w:t>A</w:t>
      </w:r>
    </w:p>
    <w:p w14:paraId="4BCEEC31">
      <w:pPr>
        <w:widowControl/>
        <w:kinsoku w:val="0"/>
        <w:autoSpaceDE w:val="0"/>
        <w:autoSpaceDN w:val="0"/>
        <w:snapToGrid w:val="0"/>
        <w:spacing w:line="360" w:lineRule="auto"/>
        <w:jc w:val="center"/>
        <w:textAlignment w:val="baseline"/>
        <w:rPr>
          <w:rFonts w:ascii="Times New Roman" w:hAnsi="Times New Roman" w:eastAsia="黑体"/>
          <w:spacing w:val="-2"/>
        </w:rPr>
      </w:pPr>
      <w:r>
        <w:rPr>
          <w:rFonts w:ascii="Times New Roman" w:hAnsi="Times New Roman" w:eastAsia="黑体"/>
          <w:spacing w:val="-2"/>
        </w:rPr>
        <w:t>(资料性)</w:t>
      </w:r>
    </w:p>
    <w:p w14:paraId="1F6C1A88">
      <w:pPr>
        <w:pStyle w:val="14"/>
        <w:widowControl/>
        <w:kinsoku w:val="0"/>
        <w:autoSpaceDE w:val="0"/>
        <w:autoSpaceDN w:val="0"/>
        <w:snapToGrid w:val="0"/>
        <w:spacing w:line="360" w:lineRule="auto"/>
        <w:jc w:val="center"/>
        <w:textAlignment w:val="baseline"/>
        <w:rPr>
          <w:rFonts w:ascii="Times New Roman" w:hAnsi="Times New Roman" w:eastAsia="黑体"/>
          <w:spacing w:val="-2"/>
        </w:rPr>
      </w:pPr>
      <w:r>
        <w:rPr>
          <w:rFonts w:ascii="Times New Roman" w:hAnsi="Times New Roman" w:eastAsia="黑体"/>
          <w:spacing w:val="-2"/>
        </w:rPr>
        <w:t>洞庭山碧螺春感官分级标准样品研制</w:t>
      </w:r>
    </w:p>
    <w:p w14:paraId="2BD64DC6">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w:t>
      </w:r>
      <w:r>
        <w:rPr>
          <w:rFonts w:ascii="Times New Roman" w:hAnsi="Times New Roman" w:eastAsia="黑体"/>
          <w:snapToGrid w:val="0"/>
          <w:color w:val="000000"/>
          <w:spacing w:val="-6"/>
          <w:kern w:val="0"/>
        </w:rPr>
        <w:t>.1  介绍</w:t>
      </w:r>
    </w:p>
    <w:p w14:paraId="6FAC67F7">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由于缺乏实物标准样品，生产者、商家和消费者难以对洞庭山碧螺春的品质优劣和质量等级进行准确鉴别，这一情况对其知名度和附加值提升造成了制约。为了促进洞庭山碧螺春茶产品的规范化、标准化生产，进一步规范质量控制，统一评价尺度，以适应我国新形势下茶叶生产和贸易的需要，制定以洞庭山碧螺春茶为代表的感官分级标准样品十分必要。</w:t>
      </w:r>
    </w:p>
    <w:p w14:paraId="70695486">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w:t>
      </w:r>
      <w:r>
        <w:rPr>
          <w:rFonts w:ascii="Times New Roman" w:hAnsi="Times New Roman" w:eastAsia="黑体"/>
          <w:snapToGrid w:val="0"/>
          <w:color w:val="000000"/>
          <w:spacing w:val="-6"/>
          <w:kern w:val="0"/>
        </w:rPr>
        <w:t>.2  采样</w:t>
      </w:r>
    </w:p>
    <w:p w14:paraId="617796C3">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标准样品原料来源满足GB/T 18957要求，包括特级一等、特级二等、一级、二级、三级，并覆盖地理标志产品洞庭山碧螺春茶保护区范围。取样时选取洞庭山碧螺春东山及西山产地10家代表性企业作为供样单位。</w:t>
      </w:r>
    </w:p>
    <w:p w14:paraId="1AEFC148">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原料应选择适制碧螺春茶品质特点的当地传统茶树品种或适宜的良种，在春分前后至谷雨期间采摘鲜叶。采摘时，要求每批采下的鲜叶嫩度、匀度、净度及新鲜度应基本一致，不要雨水叶，且满足表1的要求。按要求采摘的鲜叶，进一步拣剔后，经高温杀青、热揉成形、搓团显毫及文火干燥，制备形成标准样品原料。</w:t>
      </w:r>
    </w:p>
    <w:p w14:paraId="3A8784E5">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 xml:space="preserve"> 表</w:t>
      </w:r>
      <w:r>
        <w:rPr>
          <w:rFonts w:hint="eastAsia" w:ascii="Times New Roman" w:hAnsi="Times New Roman" w:eastAsia="黑体"/>
          <w:spacing w:val="-6"/>
        </w:rPr>
        <w:t>A.</w:t>
      </w:r>
      <w:r>
        <w:rPr>
          <w:rFonts w:ascii="Times New Roman" w:hAnsi="Times New Roman" w:eastAsia="黑体"/>
          <w:spacing w:val="-6"/>
        </w:rPr>
        <w:t>1 不同等级洞庭山碧螺春感官分级标准样品鲜叶采摘要求</w:t>
      </w:r>
    </w:p>
    <w:tbl>
      <w:tblPr>
        <w:tblStyle w:val="28"/>
        <w:tblW w:w="9301"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8148"/>
      </w:tblGrid>
      <w:tr w14:paraId="78FA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3" w:type="dxa"/>
            <w:noWrap/>
          </w:tcPr>
          <w:p w14:paraId="44E41C1F">
            <w:pPr>
              <w:jc w:val="center"/>
              <w:rPr>
                <w:rFonts w:ascii="Times New Roman" w:hAnsi="Times New Roman"/>
              </w:rPr>
            </w:pPr>
            <w:r>
              <w:rPr>
                <w:rFonts w:ascii="Times New Roman" w:hAnsi="Times New Roman"/>
              </w:rPr>
              <w:t>等级</w:t>
            </w:r>
          </w:p>
        </w:tc>
        <w:tc>
          <w:tcPr>
            <w:tcW w:w="8148" w:type="dxa"/>
            <w:noWrap/>
          </w:tcPr>
          <w:p w14:paraId="0DF9CAD4">
            <w:pPr>
              <w:jc w:val="center"/>
              <w:rPr>
                <w:rFonts w:ascii="Times New Roman" w:hAnsi="Times New Roman"/>
              </w:rPr>
            </w:pPr>
            <w:r>
              <w:rPr>
                <w:rFonts w:ascii="Times New Roman" w:hAnsi="Times New Roman"/>
              </w:rPr>
              <w:t>鲜叶采摘要求</w:t>
            </w:r>
          </w:p>
        </w:tc>
      </w:tr>
      <w:tr w14:paraId="7C64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3" w:type="dxa"/>
            <w:noWrap/>
          </w:tcPr>
          <w:p w14:paraId="69F467EE">
            <w:pPr>
              <w:jc w:val="center"/>
              <w:rPr>
                <w:rFonts w:ascii="Times New Roman" w:hAnsi="Times New Roman"/>
              </w:rPr>
            </w:pPr>
            <w:r>
              <w:rPr>
                <w:rFonts w:ascii="Times New Roman" w:hAnsi="Times New Roman"/>
              </w:rPr>
              <w:t>特级一等</w:t>
            </w:r>
          </w:p>
        </w:tc>
        <w:tc>
          <w:tcPr>
            <w:tcW w:w="8148" w:type="dxa"/>
            <w:noWrap/>
          </w:tcPr>
          <w:p w14:paraId="5B28074A">
            <w:pPr>
              <w:jc w:val="center"/>
              <w:rPr>
                <w:rFonts w:ascii="Times New Roman" w:hAnsi="Times New Roman"/>
              </w:rPr>
            </w:pPr>
            <w:r>
              <w:rPr>
                <w:rFonts w:ascii="Times New Roman" w:hAnsi="Times New Roman"/>
              </w:rPr>
              <w:t>一芽一叶初展（占比80%以上）</w:t>
            </w:r>
          </w:p>
        </w:tc>
      </w:tr>
      <w:tr w14:paraId="782C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3" w:type="dxa"/>
            <w:noWrap/>
          </w:tcPr>
          <w:p w14:paraId="39FCE8A2">
            <w:pPr>
              <w:jc w:val="center"/>
              <w:rPr>
                <w:rFonts w:ascii="Times New Roman" w:hAnsi="Times New Roman"/>
              </w:rPr>
            </w:pPr>
            <w:r>
              <w:rPr>
                <w:rFonts w:ascii="Times New Roman" w:hAnsi="Times New Roman"/>
              </w:rPr>
              <w:t>特级二等</w:t>
            </w:r>
          </w:p>
        </w:tc>
        <w:tc>
          <w:tcPr>
            <w:tcW w:w="8148" w:type="dxa"/>
            <w:noWrap/>
          </w:tcPr>
          <w:p w14:paraId="7569DC3D">
            <w:pPr>
              <w:jc w:val="center"/>
              <w:rPr>
                <w:rFonts w:ascii="Times New Roman" w:hAnsi="Times New Roman"/>
              </w:rPr>
            </w:pPr>
            <w:r>
              <w:rPr>
                <w:rFonts w:ascii="Times New Roman" w:hAnsi="Times New Roman"/>
              </w:rPr>
              <w:t>一芽一叶（占比50%以上）</w:t>
            </w:r>
          </w:p>
        </w:tc>
      </w:tr>
      <w:tr w14:paraId="3486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3" w:type="dxa"/>
            <w:noWrap/>
          </w:tcPr>
          <w:p w14:paraId="25EB95CD">
            <w:pPr>
              <w:jc w:val="center"/>
              <w:rPr>
                <w:rFonts w:ascii="Times New Roman" w:hAnsi="Times New Roman"/>
              </w:rPr>
            </w:pPr>
            <w:r>
              <w:rPr>
                <w:rFonts w:ascii="Times New Roman" w:hAnsi="Times New Roman"/>
              </w:rPr>
              <w:t>一级</w:t>
            </w:r>
          </w:p>
        </w:tc>
        <w:tc>
          <w:tcPr>
            <w:tcW w:w="8148" w:type="dxa"/>
            <w:noWrap/>
          </w:tcPr>
          <w:p w14:paraId="0FFC212A">
            <w:pPr>
              <w:jc w:val="center"/>
              <w:rPr>
                <w:rFonts w:ascii="Times New Roman" w:hAnsi="Times New Roman"/>
              </w:rPr>
            </w:pPr>
            <w:r>
              <w:rPr>
                <w:rFonts w:ascii="Times New Roman" w:hAnsi="Times New Roman"/>
              </w:rPr>
              <w:t>一芽一叶（占比30%以上）；一芽二叶初展（约占比60%~70%）</w:t>
            </w:r>
          </w:p>
        </w:tc>
      </w:tr>
      <w:tr w14:paraId="25DF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3" w:type="dxa"/>
            <w:noWrap/>
          </w:tcPr>
          <w:p w14:paraId="59678A04">
            <w:pPr>
              <w:jc w:val="center"/>
              <w:rPr>
                <w:rFonts w:ascii="Times New Roman" w:hAnsi="Times New Roman"/>
              </w:rPr>
            </w:pPr>
            <w:r>
              <w:rPr>
                <w:rFonts w:ascii="Times New Roman" w:hAnsi="Times New Roman"/>
              </w:rPr>
              <w:t>二级</w:t>
            </w:r>
          </w:p>
        </w:tc>
        <w:tc>
          <w:tcPr>
            <w:tcW w:w="8148" w:type="dxa"/>
            <w:noWrap/>
          </w:tcPr>
          <w:p w14:paraId="3671F818">
            <w:pPr>
              <w:jc w:val="center"/>
              <w:rPr>
                <w:rFonts w:ascii="Times New Roman" w:hAnsi="Times New Roman"/>
              </w:rPr>
            </w:pPr>
            <w:r>
              <w:rPr>
                <w:rFonts w:ascii="Times New Roman" w:hAnsi="Times New Roman"/>
              </w:rPr>
              <w:t>一芽二叶初展（占比30%以上）；一芽二叶（约占比60%~70%）</w:t>
            </w:r>
          </w:p>
        </w:tc>
      </w:tr>
      <w:tr w14:paraId="4CB9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53" w:type="dxa"/>
            <w:noWrap/>
          </w:tcPr>
          <w:p w14:paraId="39231686">
            <w:pPr>
              <w:jc w:val="center"/>
              <w:rPr>
                <w:rFonts w:ascii="Times New Roman" w:hAnsi="Times New Roman"/>
              </w:rPr>
            </w:pPr>
            <w:r>
              <w:rPr>
                <w:rFonts w:ascii="Times New Roman" w:hAnsi="Times New Roman"/>
              </w:rPr>
              <w:t>三级</w:t>
            </w:r>
          </w:p>
        </w:tc>
        <w:tc>
          <w:tcPr>
            <w:tcW w:w="8148" w:type="dxa"/>
            <w:noWrap/>
          </w:tcPr>
          <w:p w14:paraId="2FF412A4">
            <w:pPr>
              <w:jc w:val="center"/>
              <w:rPr>
                <w:rFonts w:ascii="Times New Roman" w:hAnsi="Times New Roman"/>
              </w:rPr>
            </w:pPr>
            <w:r>
              <w:rPr>
                <w:rFonts w:ascii="Times New Roman" w:hAnsi="Times New Roman"/>
              </w:rPr>
              <w:t>一芽二叶成熟叶</w:t>
            </w:r>
          </w:p>
        </w:tc>
      </w:tr>
    </w:tbl>
    <w:p w14:paraId="4C97715F">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w:t>
      </w:r>
      <w:r>
        <w:rPr>
          <w:rFonts w:ascii="Times New Roman" w:hAnsi="Times New Roman" w:eastAsia="黑体"/>
          <w:snapToGrid w:val="0"/>
          <w:color w:val="000000"/>
          <w:spacing w:val="-6"/>
          <w:kern w:val="0"/>
        </w:rPr>
        <w:t>.3  加工制备</w:t>
      </w:r>
    </w:p>
    <w:p w14:paraId="68616F18">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A.3.1 样品遴选</w:t>
      </w:r>
    </w:p>
    <w:p w14:paraId="77B08203">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3名研制人员对照洞庭山碧螺春茶感官品质文字标准，对各企业每一等级标准样品进行感官审评，剔出品质存在问题的样品，确保研制原料基本符合各等级标准样品质量要求。对遴选后的样品进行筛分、拣剔、去杂，并按级别分类、编号。研制人员均具有一级评茶师资质（下同）。</w:t>
      </w:r>
    </w:p>
    <w:p w14:paraId="508B59BA">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A.3.2 参考小样制作</w:t>
      </w:r>
    </w:p>
    <w:p w14:paraId="444E55CE">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研制人员根据待拼配样品等级特征初步估算各拼配样用量比例，试拼参考小样。试拼时，边拼边对样，重复拼配至各等级样品外形和内质均符合洞庭山碧螺春茶感官分级标准样品要求。</w:t>
      </w:r>
    </w:p>
    <w:p w14:paraId="52060C48">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参考小样制作完成后，由10位定值专家依据GB/T 23776对其进行初次审评，确保其满足洞庭山碧螺春茶感官分级标准样品要求。定值专家均具有二级评茶师及以上资质（下同）。</w:t>
      </w:r>
    </w:p>
    <w:p w14:paraId="19317190">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在江苏吴中区召开了洞庭山碧螺春茶感官分级标准样品研制协调会，就参考小样征求企业及产业部门意见。</w:t>
      </w:r>
    </w:p>
    <w:p w14:paraId="2F4CC9CC">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w:t>
      </w:r>
      <w:r>
        <w:rPr>
          <w:rFonts w:ascii="Times New Roman" w:hAnsi="Times New Roman" w:eastAsia="黑体"/>
          <w:snapToGrid w:val="0"/>
          <w:color w:val="000000"/>
          <w:spacing w:val="-6"/>
          <w:kern w:val="0"/>
        </w:rPr>
        <w:t>.3.</w:t>
      </w:r>
      <w:r>
        <w:rPr>
          <w:rFonts w:hint="eastAsia" w:ascii="Times New Roman" w:hAnsi="Times New Roman" w:eastAsia="黑体"/>
          <w:snapToGrid w:val="0"/>
          <w:color w:val="000000"/>
          <w:spacing w:val="-6"/>
          <w:kern w:val="0"/>
        </w:rPr>
        <w:t>3</w:t>
      </w:r>
      <w:r>
        <w:rPr>
          <w:rFonts w:ascii="Times New Roman" w:hAnsi="Times New Roman" w:eastAsia="黑体"/>
          <w:snapToGrid w:val="0"/>
          <w:color w:val="000000"/>
          <w:spacing w:val="-6"/>
          <w:kern w:val="0"/>
        </w:rPr>
        <w:t xml:space="preserve"> 实物标准样制作</w:t>
      </w:r>
    </w:p>
    <w:p w14:paraId="60FDB1FB">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以2017年参考小样为基准，结合产业反馈意见，组织10家代表性企业开展原料制备工作；完成标准样品小样拼配后，由定值专家开展审评工作，确保样品完全符合洞庭山碧螺春茶感官分级标准样品要求。</w:t>
      </w:r>
    </w:p>
    <w:p w14:paraId="7891B8EE">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依据标准样品小样拼配比例，完成标准样品大样拼配，定值专家进一步对标准样品大样进行审评，确保其满足洞庭山碧螺春茶感官分级标准样品要求。</w:t>
      </w:r>
    </w:p>
    <w:p w14:paraId="7D14BF67">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w:t>
      </w:r>
      <w:r>
        <w:rPr>
          <w:rFonts w:ascii="Times New Roman" w:hAnsi="Times New Roman" w:eastAsia="黑体"/>
          <w:snapToGrid w:val="0"/>
          <w:color w:val="000000"/>
          <w:spacing w:val="-6"/>
          <w:kern w:val="0"/>
        </w:rPr>
        <w:t>.4  分装及储存</w:t>
      </w:r>
    </w:p>
    <w:p w14:paraId="12174D72">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洞庭山碧螺春茶感官分级标准样品分装时应将样品充分混匀，采用铁罐内套食品级塑料袋包装，规格为（50g/罐*5/套）。为保证标准样品的持续有效性，样品应储存于干燥、清洁、无异味的容器中，贮存温度为-18℃。</w:t>
      </w:r>
    </w:p>
    <w:p w14:paraId="39733D9E">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w:t>
      </w:r>
      <w:r>
        <w:rPr>
          <w:rFonts w:ascii="Times New Roman" w:hAnsi="Times New Roman" w:eastAsia="黑体"/>
          <w:snapToGrid w:val="0"/>
          <w:color w:val="000000"/>
          <w:spacing w:val="-6"/>
          <w:kern w:val="0"/>
        </w:rPr>
        <w:t>.5  均匀性</w:t>
      </w:r>
    </w:p>
    <w:p w14:paraId="2ECCA59F">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制备的符合碧螺春茶感官分级的标准样品，从每一等级标准样品中（150罐）随机分层抽取10罐，进行均匀性检验。</w:t>
      </w:r>
      <w:r>
        <w:rPr>
          <w:rFonts w:hint="eastAsia" w:ascii="Times New Roman" w:hAnsi="Times New Roman"/>
        </w:rPr>
        <w:t>1</w:t>
      </w:r>
      <w:r>
        <w:rPr>
          <w:rFonts w:ascii="Times New Roman" w:hAnsi="Times New Roman"/>
        </w:rPr>
        <w:t>名专家独立取样，每罐样品取样3次，取样量为3.0g，依据GB/T 23776进行均匀性检验。3次取样的评价结果作为平行数据</w:t>
      </w:r>
      <w:r>
        <w:rPr>
          <w:rFonts w:hint="eastAsia" w:ascii="Times New Roman" w:hAnsi="Times New Roman"/>
        </w:rPr>
        <w:t>，</w:t>
      </w:r>
      <w:r>
        <w:rPr>
          <w:rFonts w:ascii="Times New Roman" w:hAnsi="Times New Roman"/>
        </w:rPr>
        <w:t>通过组间和组内方差分析来判断样品之间有无系统性差异。均匀性检验专家具有一级评茶师资质。</w:t>
      </w:r>
      <w:r>
        <w:rPr>
          <w:rFonts w:hint="eastAsia" w:ascii="Times New Roman" w:hAnsi="Times New Roman"/>
        </w:rPr>
        <w:t>以特级一等为例，</w:t>
      </w:r>
      <w:r>
        <w:rPr>
          <w:rFonts w:ascii="Times New Roman" w:hAnsi="Times New Roman"/>
        </w:rPr>
        <w:t>罐间均匀性的不确定度S</w:t>
      </w:r>
      <w:r>
        <w:rPr>
          <w:rFonts w:ascii="Times New Roman" w:hAnsi="Times New Roman"/>
          <w:vertAlign w:val="subscript"/>
        </w:rPr>
        <w:t>bb</w:t>
      </w:r>
      <w:r>
        <w:rPr>
          <w:rFonts w:ascii="Times New Roman" w:hAnsi="Times New Roman"/>
        </w:rPr>
        <w:fldChar w:fldCharType="begin"/>
      </w:r>
      <w:r>
        <w:rPr>
          <w:rFonts w:ascii="Times New Roman" w:hAnsi="Times New Roman"/>
        </w:rPr>
        <w:instrText xml:space="preserve"> QUOTE </w:instrText>
      </w:r>
      <m:oMath>
        <m:sSub>
          <m:sSubPr>
            <m:ctrlPr>
              <w:rPr>
                <w:rFonts w:ascii="Cambria Math" w:hAnsi="Cambria Math"/>
              </w:rPr>
            </m:ctrlPr>
          </m:sSubPr>
          <m:e>
            <m:r>
              <m:rPr>
                <m:sty m:val="p"/>
              </m:rPr>
              <w:rPr>
                <w:rFonts w:ascii="Cambria Math" w:hAnsi="Cambria Math"/>
              </w:rPr>
              <m:t xml:space="preserve">S</m:t>
            </m:r>
            <m:ctrlPr>
              <w:rPr>
                <w:rFonts w:ascii="Cambria Math" w:hAnsi="Cambria Math"/>
              </w:rPr>
            </m:ctrlPr>
          </m:e>
          <m:sub>
            <m:r>
              <m:rPr>
                <m:sty m:val="p"/>
              </m:rPr>
              <w:rPr>
                <w:rFonts w:ascii="Cambria Math" w:hAnsi="Cambria Math"/>
              </w:rPr>
              <m:t xml:space="preserve">bb</m:t>
            </m:r>
            <m:ctrlPr>
              <w:rPr>
                <w:rFonts w:ascii="Cambria Math" w:hAnsi="Cambria Math"/>
              </w:rPr>
            </m:ctrlPr>
          </m:sub>
        </m:sSub>
        <m:r>
          <m:rPr>
            <m:sty m:val="p"/>
          </m:rPr>
          <w:rPr>
            <w:rFonts w:ascii="Cambria Math" w:hAnsi="Cambria Math"/>
          </w:rPr>
          <m:t xml:space="preserve">=</m:t>
        </m:r>
        <m:rad>
          <m:radPr>
            <m:degHide m:val="1"/>
            <m:ctrlPr>
              <w:rPr>
                <w:rFonts w:ascii="Cambria Math" w:hAnsi="Cambria Math"/>
              </w:rPr>
            </m:ctrlPr>
          </m:radPr>
          <m:deg>
            <m:ctrlPr>
              <w:rPr>
                <w:rFonts w:ascii="Cambria Math" w:hAnsi="Cambria Math"/>
              </w:rPr>
            </m:ctrlPr>
          </m:deg>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MS</m:t>
                    </m:r>
                    <m:ctrlPr>
                      <w:rPr>
                        <w:rFonts w:ascii="Cambria Math" w:hAnsi="Cambria Math"/>
                      </w:rPr>
                    </m:ctrlPr>
                  </m:e>
                  <m:sub>
                    <m:r>
                      <m:rPr>
                        <m:sty m:val="p"/>
                      </m:rPr>
                      <w:rPr>
                        <w:rFonts w:ascii="Cambria Math" w:hAnsi="Cambria Math"/>
                      </w:rPr>
                      <m:t xml:space="preserve">among</m:t>
                    </m:r>
                    <m:ctrlPr>
                      <w:rPr>
                        <w:rFonts w:ascii="Cambria Math" w:hAnsi="Cambria Math"/>
                      </w:rPr>
                    </m:ctrlPr>
                  </m:sub>
                </m:sSub>
                <m:r>
                  <m:rPr>
                    <m:sty m:val="p"/>
                  </m:rPr>
                  <w:rPr>
                    <w:rFonts w:ascii="Cambria Math" w:hAnsi="Cambria Math"/>
                  </w:rPr>
                  <m:t xml:space="preserve">−</m:t>
                </m:r>
                <m:sSub>
                  <m:sSubPr>
                    <m:ctrlPr>
                      <w:rPr>
                        <w:rFonts w:ascii="Cambria Math" w:hAnsi="Cambria Math"/>
                      </w:rPr>
                    </m:ctrlPr>
                  </m:sSubPr>
                  <m:e>
                    <m:r>
                      <m:rPr>
                        <m:sty m:val="p"/>
                      </m:rPr>
                      <w:rPr>
                        <w:rFonts w:ascii="Cambria Math" w:hAnsi="Cambria Math"/>
                      </w:rPr>
                      <m:t xml:space="preserve">MS</m:t>
                    </m:r>
                    <m:ctrlPr>
                      <w:rPr>
                        <w:rFonts w:ascii="Cambria Math" w:hAnsi="Cambria Math"/>
                      </w:rPr>
                    </m:ctrlPr>
                  </m:e>
                  <m:sub>
                    <m:r>
                      <m:rPr>
                        <m:sty m:val="p"/>
                      </m:rPr>
                      <w:rPr>
                        <w:rFonts w:ascii="Cambria Math" w:hAnsi="Cambria Math"/>
                      </w:rPr>
                      <m:t xml:space="preserve">within</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 xml:space="preserve">n</m:t>
                    </m:r>
                    <m:ctrlPr>
                      <w:rPr>
                        <w:rFonts w:ascii="Cambria Math" w:hAnsi="Cambria Math"/>
                      </w:rPr>
                    </m:ctrlPr>
                  </m:e>
                  <m:sub>
                    <m:r>
                      <m:rPr>
                        <m:sty m:val="p"/>
                      </m:rPr>
                      <w:rPr>
                        <w:rFonts w:ascii="Cambria Math" w:hAnsi="Cambria Math"/>
                      </w:rPr>
                      <m:t xml:space="preserve">0</m:t>
                    </m:r>
                    <m:ctrlPr>
                      <w:rPr>
                        <w:rFonts w:ascii="Cambria Math" w:hAnsi="Cambria Math"/>
                      </w:rPr>
                    </m:ctrlPr>
                  </m:sub>
                </m:sSub>
                <m:ctrlPr>
                  <w:rPr>
                    <w:rFonts w:ascii="Cambria Math" w:hAnsi="Cambria Math"/>
                  </w:rPr>
                </m:ctrlPr>
              </m:den>
            </m:f>
            <m:ctrlPr>
              <w:rPr>
                <w:rFonts w:ascii="Cambria Math" w:hAnsi="Cambria Math"/>
              </w:rPr>
            </m:ctrlPr>
          </m:e>
        </m:rad>
      </m:oMath>
      <w:r>
        <w:rPr>
          <w:rFonts w:ascii="Times New Roman" w:hAnsi="Times New Roman"/>
        </w:rPr>
        <w:instrText xml:space="preserve"> </w:instrText>
      </w:r>
      <w:r>
        <w:rPr>
          <w:rFonts w:ascii="Times New Roman" w:hAnsi="Times New Roman"/>
        </w:rPr>
        <w:fldChar w:fldCharType="separate"/>
      </w:r>
      <w:r>
        <w:rPr>
          <w:rFonts w:ascii="Times New Roman" w:hAnsi="Times New Roman"/>
        </w:rPr>
        <w:fldChar w:fldCharType="end"/>
      </w:r>
      <w:r>
        <w:rPr>
          <w:rFonts w:ascii="Times New Roman" w:hAnsi="Times New Roman"/>
        </w:rPr>
        <w:t>=</w:t>
      </w:r>
      <w:r>
        <w:rPr>
          <w:rFonts w:hint="eastAsia" w:ascii="Times New Roman" w:hAnsi="Times New Roman"/>
        </w:rPr>
        <w:t>0.089</w:t>
      </w:r>
      <w:r>
        <w:rPr>
          <w:rFonts w:ascii="Times New Roman" w:hAnsi="Times New Roman"/>
        </w:rPr>
        <w:t>，F</w:t>
      </w:r>
      <w:r>
        <w:rPr>
          <w:rFonts w:ascii="Times New Roman" w:hAnsi="Times New Roman"/>
        </w:rPr>
        <w:fldChar w:fldCharType="begin"/>
      </w:r>
      <w:r>
        <w:rPr>
          <w:rFonts w:ascii="Times New Roman" w:hAnsi="Times New Roman"/>
        </w:rPr>
        <w:instrText xml:space="preserve"> QUOTE </w:instrText>
      </w:r>
      <m:oMath>
        <m:r>
          <m:rPr>
            <m:sty m:val="p"/>
          </m:rPr>
          <w:rPr>
            <w:rFonts w:ascii="Cambria Math" w:hAnsi="Cambria Math"/>
          </w:rPr>
          <m:t xml:space="preserve">=</m:t>
        </m:r>
        <m:f>
          <m:fPr>
            <m:ctrlPr>
              <w:rPr>
                <w:rFonts w:ascii="Cambria Math" w:hAnsi="Cambria Math"/>
              </w:rPr>
            </m:ctrlPr>
          </m:fPr>
          <m:num>
            <m:r>
              <m:rPr>
                <m:sty m:val="p"/>
              </m:rPr>
              <w:rPr>
                <w:rFonts w:ascii="Cambria Math" w:hAnsi="Cambria Math"/>
              </w:rPr>
              <m:t xml:space="preserve">M</m:t>
            </m:r>
            <m:sSub>
              <m:sSubPr>
                <m:ctrlPr>
                  <w:rPr>
                    <w:rFonts w:ascii="Cambria Math" w:hAnsi="Cambria Math"/>
                  </w:rPr>
                </m:ctrlPr>
              </m:sSubPr>
              <m:e>
                <m:r>
                  <m:rPr>
                    <m:sty m:val="p"/>
                  </m:rPr>
                  <w:rPr>
                    <w:rFonts w:ascii="Cambria Math" w:hAnsi="Cambria Math"/>
                  </w:rPr>
                  <m:t xml:space="preserve">S</m:t>
                </m:r>
                <m:ctrlPr>
                  <w:rPr>
                    <w:rFonts w:ascii="Cambria Math" w:hAnsi="Cambria Math"/>
                  </w:rPr>
                </m:ctrlPr>
              </m:e>
              <m:sub>
                <m:r>
                  <m:rPr>
                    <m:sty m:val="p"/>
                  </m:rPr>
                  <w:rPr>
                    <w:rFonts w:ascii="Cambria Math" w:hAnsi="Cambria Math"/>
                  </w:rPr>
                  <m:t xml:space="preserve">between</m:t>
                </m:r>
                <m:ctrlPr>
                  <w:rPr>
                    <w:rFonts w:ascii="Cambria Math" w:hAnsi="Cambria Math"/>
                  </w:rPr>
                </m:ctrlPr>
              </m:sub>
            </m:sSub>
            <m:ctrlPr>
              <w:rPr>
                <w:rFonts w:ascii="Cambria Math" w:hAnsi="Cambria Math"/>
              </w:rPr>
            </m:ctrlPr>
          </m:num>
          <m:den>
            <m:r>
              <m:rPr>
                <m:sty m:val="p"/>
              </m:rPr>
              <w:rPr>
                <w:rFonts w:ascii="Cambria Math" w:hAnsi="Cambria Math"/>
              </w:rPr>
              <m:t xml:space="preserve">M</m:t>
            </m:r>
            <m:sSub>
              <m:sSubPr>
                <m:ctrlPr>
                  <w:rPr>
                    <w:rFonts w:ascii="Cambria Math" w:hAnsi="Cambria Math"/>
                  </w:rPr>
                </m:ctrlPr>
              </m:sSubPr>
              <m:e>
                <m:r>
                  <m:rPr>
                    <m:sty m:val="p"/>
                  </m:rPr>
                  <w:rPr>
                    <w:rFonts w:ascii="Cambria Math" w:hAnsi="Cambria Math"/>
                  </w:rPr>
                  <m:t xml:space="preserve">S</m:t>
                </m:r>
                <m:ctrlPr>
                  <w:rPr>
                    <w:rFonts w:ascii="Cambria Math" w:hAnsi="Cambria Math"/>
                  </w:rPr>
                </m:ctrlPr>
              </m:e>
              <m:sub>
                <m:r>
                  <m:rPr>
                    <m:sty m:val="p"/>
                  </m:rPr>
                  <w:rPr>
                    <w:rFonts w:ascii="Cambria Math" w:hAnsi="Cambria Math"/>
                  </w:rPr>
                  <m:t xml:space="preserve">within</m:t>
                </m:r>
                <m:ctrlPr>
                  <w:rPr>
                    <w:rFonts w:ascii="Cambria Math" w:hAnsi="Cambria Math"/>
                  </w:rPr>
                </m:ctrlPr>
              </m:sub>
            </m:sSub>
            <m:ctrlPr>
              <w:rPr>
                <w:rFonts w:ascii="Cambria Math" w:hAnsi="Cambria Math"/>
              </w:rPr>
            </m:ctrlPr>
          </m:den>
        </m:f>
      </m:oMath>
      <w:r>
        <w:rPr>
          <w:rFonts w:ascii="Times New Roman" w:hAnsi="Times New Roman"/>
        </w:rPr>
        <w:instrText xml:space="preserve"> </w:instrText>
      </w:r>
      <w:r>
        <w:rPr>
          <w:rFonts w:ascii="Times New Roman" w:hAnsi="Times New Roman"/>
        </w:rPr>
        <w:fldChar w:fldCharType="separate"/>
      </w:r>
      <w:r>
        <w:rPr>
          <w:rFonts w:ascii="Times New Roman" w:hAnsi="Times New Roman"/>
        </w:rPr>
        <w:fldChar w:fldCharType="end"/>
      </w:r>
      <w:r>
        <w:rPr>
          <w:rFonts w:ascii="Times New Roman" w:hAnsi="Times New Roman"/>
        </w:rPr>
        <w:t>=0.2</w:t>
      </w:r>
      <w:r>
        <w:rPr>
          <w:rFonts w:hint="eastAsia" w:ascii="Times New Roman" w:hAnsi="Times New Roman"/>
        </w:rPr>
        <w:t>68</w:t>
      </w:r>
      <w:r>
        <w:rPr>
          <w:rFonts w:ascii="Times New Roman" w:hAnsi="Times New Roman"/>
        </w:rPr>
        <w:t>，F&lt;F</w:t>
      </w:r>
      <w:r>
        <w:rPr>
          <w:rFonts w:ascii="Times New Roman" w:hAnsi="Times New Roman"/>
          <w:vertAlign w:val="subscript"/>
        </w:rPr>
        <w:t>0.05</w:t>
      </w:r>
      <w:r>
        <w:rPr>
          <w:rFonts w:ascii="Times New Roman" w:hAnsi="Times New Roman"/>
        </w:rPr>
        <w:t>（9，20），因此</w:t>
      </w:r>
      <w:r>
        <w:rPr>
          <w:rFonts w:hint="eastAsia" w:ascii="Times New Roman" w:hAnsi="Times New Roman"/>
        </w:rPr>
        <w:t>该样品</w:t>
      </w:r>
      <w:r>
        <w:rPr>
          <w:rFonts w:ascii="Times New Roman" w:hAnsi="Times New Roman"/>
        </w:rPr>
        <w:t>是均匀的</w:t>
      </w:r>
      <w:r>
        <w:rPr>
          <w:rFonts w:hint="eastAsia" w:ascii="Times New Roman" w:hAnsi="Times New Roman"/>
        </w:rPr>
        <w:t>，重复性标准差</w:t>
      </w:r>
      <w:r>
        <w:rPr>
          <w:rFonts w:ascii="Times New Roman" w:hAnsi="Times New Roman"/>
        </w:rPr>
        <w:t>S</w:t>
      </w:r>
      <w:r>
        <w:rPr>
          <w:rFonts w:ascii="Times New Roman" w:hAnsi="Times New Roman"/>
          <w:vertAlign w:val="subscript"/>
        </w:rPr>
        <w:t>r</w:t>
      </w:r>
      <w:r>
        <w:rPr>
          <w:rFonts w:ascii="Times New Roman" w:hAnsi="Times New Roman"/>
        </w:rPr>
        <w:t>=</w:t>
      </w:r>
      <w:r>
        <w:rPr>
          <w:rFonts w:hint="eastAsia" w:ascii="Times New Roman" w:hAnsi="Times New Roman"/>
        </w:rPr>
        <w:t>0.063</w:t>
      </w:r>
      <w:r>
        <w:rPr>
          <w:rFonts w:ascii="Times New Roman" w:hAnsi="Times New Roman"/>
        </w:rPr>
        <w:t>。</w:t>
      </w:r>
    </w:p>
    <w:p w14:paraId="4A6F57FD">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A.</w:t>
      </w:r>
      <w:r>
        <w:rPr>
          <w:rFonts w:ascii="Times New Roman" w:hAnsi="Times New Roman" w:eastAsia="黑体"/>
          <w:spacing w:val="-6"/>
        </w:rPr>
        <w:t>2 洞庭山碧螺春茶感官分级标准样品均匀性检验测量数据（以特级一等为例）</w:t>
      </w:r>
    </w:p>
    <w:tbl>
      <w:tblPr>
        <w:tblStyle w:val="28"/>
        <w:tblW w:w="4869" w:type="pct"/>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9"/>
        <w:gridCol w:w="1807"/>
        <w:gridCol w:w="1809"/>
        <w:gridCol w:w="1809"/>
        <w:gridCol w:w="2055"/>
      </w:tblGrid>
      <w:tr w14:paraId="6BE8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trPr>
        <w:tc>
          <w:tcPr>
            <w:tcW w:w="987" w:type="pct"/>
            <w:vAlign w:val="center"/>
          </w:tcPr>
          <w:p w14:paraId="4622D061">
            <w:pPr>
              <w:spacing w:line="0" w:lineRule="atLeast"/>
              <w:jc w:val="center"/>
              <w:rPr>
                <w:rFonts w:ascii="Times New Roman" w:hAnsi="Times New Roman"/>
              </w:rPr>
            </w:pPr>
            <w:r>
              <w:rPr>
                <w:rFonts w:ascii="Times New Roman" w:hAnsi="Times New Roman"/>
              </w:rPr>
              <w:t>罐号</w:t>
            </w:r>
          </w:p>
        </w:tc>
        <w:tc>
          <w:tcPr>
            <w:tcW w:w="969" w:type="pct"/>
          </w:tcPr>
          <w:p w14:paraId="793FF8AF">
            <w:pPr>
              <w:spacing w:line="0" w:lineRule="atLeast"/>
              <w:jc w:val="center"/>
              <w:rPr>
                <w:rFonts w:ascii="Times New Roman" w:hAnsi="Times New Roman"/>
              </w:rPr>
            </w:pPr>
            <w:r>
              <w:rPr>
                <w:rFonts w:ascii="Times New Roman" w:hAnsi="Times New Roman"/>
              </w:rPr>
              <w:t>取样1</w:t>
            </w:r>
          </w:p>
        </w:tc>
        <w:tc>
          <w:tcPr>
            <w:tcW w:w="970" w:type="pct"/>
          </w:tcPr>
          <w:p w14:paraId="7273939F">
            <w:pPr>
              <w:spacing w:line="0" w:lineRule="atLeast"/>
              <w:jc w:val="center"/>
              <w:rPr>
                <w:rFonts w:ascii="Times New Roman" w:hAnsi="Times New Roman"/>
              </w:rPr>
            </w:pPr>
            <w:r>
              <w:rPr>
                <w:rFonts w:ascii="Times New Roman" w:hAnsi="Times New Roman"/>
              </w:rPr>
              <w:t>取样2</w:t>
            </w:r>
          </w:p>
        </w:tc>
        <w:tc>
          <w:tcPr>
            <w:tcW w:w="970" w:type="pct"/>
            <w:vAlign w:val="center"/>
          </w:tcPr>
          <w:p w14:paraId="1639B6AE">
            <w:pPr>
              <w:spacing w:line="0" w:lineRule="atLeast"/>
              <w:jc w:val="center"/>
              <w:rPr>
                <w:rFonts w:ascii="Times New Roman" w:hAnsi="Times New Roman"/>
              </w:rPr>
            </w:pPr>
            <w:r>
              <w:rPr>
                <w:rFonts w:ascii="Times New Roman" w:hAnsi="Times New Roman"/>
              </w:rPr>
              <w:t>取样3</w:t>
            </w:r>
          </w:p>
        </w:tc>
        <w:tc>
          <w:tcPr>
            <w:tcW w:w="1102" w:type="pct"/>
            <w:vAlign w:val="center"/>
          </w:tcPr>
          <w:p w14:paraId="642FB2E6">
            <w:pPr>
              <w:spacing w:line="0" w:lineRule="atLeast"/>
              <w:jc w:val="center"/>
              <w:rPr>
                <w:rFonts w:ascii="Times New Roman" w:hAnsi="Times New Roman"/>
              </w:rPr>
            </w:pPr>
            <w:r>
              <w:rPr>
                <w:rFonts w:ascii="Times New Roman" w:hAnsi="Times New Roman"/>
              </w:rPr>
              <w:t>平均分</w:t>
            </w:r>
          </w:p>
        </w:tc>
      </w:tr>
      <w:tr w14:paraId="1938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3546A902">
            <w:pPr>
              <w:spacing w:line="0" w:lineRule="atLeast"/>
              <w:jc w:val="center"/>
              <w:rPr>
                <w:rFonts w:ascii="Times New Roman" w:hAnsi="Times New Roman"/>
              </w:rPr>
            </w:pPr>
            <w:r>
              <w:rPr>
                <w:rFonts w:ascii="Times New Roman" w:hAnsi="Times New Roman"/>
              </w:rPr>
              <w:t>特级一等1</w:t>
            </w:r>
          </w:p>
        </w:tc>
        <w:tc>
          <w:tcPr>
            <w:tcW w:w="969" w:type="pct"/>
            <w:vAlign w:val="center"/>
          </w:tcPr>
          <w:p w14:paraId="27BCBA8B">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54C4B993">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3D38C74D">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36C3612A">
            <w:pPr>
              <w:spacing w:line="0" w:lineRule="atLeast"/>
              <w:jc w:val="center"/>
              <w:rPr>
                <w:rFonts w:ascii="Times New Roman" w:hAnsi="Times New Roman"/>
              </w:rPr>
            </w:pPr>
            <w:r>
              <w:rPr>
                <w:rFonts w:ascii="Times New Roman" w:hAnsi="Times New Roman"/>
              </w:rPr>
              <w:t xml:space="preserve">93.97 </w:t>
            </w:r>
          </w:p>
        </w:tc>
      </w:tr>
      <w:tr w14:paraId="4E4F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5C95C2E9">
            <w:pPr>
              <w:spacing w:line="0" w:lineRule="atLeast"/>
              <w:jc w:val="center"/>
              <w:rPr>
                <w:rFonts w:ascii="Times New Roman" w:hAnsi="Times New Roman"/>
              </w:rPr>
            </w:pPr>
            <w:r>
              <w:rPr>
                <w:rFonts w:ascii="Times New Roman" w:hAnsi="Times New Roman"/>
              </w:rPr>
              <w:t>特级一等2</w:t>
            </w:r>
          </w:p>
        </w:tc>
        <w:tc>
          <w:tcPr>
            <w:tcW w:w="969" w:type="pct"/>
            <w:vAlign w:val="center"/>
          </w:tcPr>
          <w:p w14:paraId="1E35A046">
            <w:pPr>
              <w:spacing w:line="0" w:lineRule="atLeast"/>
              <w:jc w:val="center"/>
              <w:rPr>
                <w:rFonts w:ascii="Times New Roman" w:hAnsi="Times New Roman"/>
              </w:rPr>
            </w:pPr>
            <w:r>
              <w:rPr>
                <w:rFonts w:ascii="Times New Roman" w:hAnsi="Times New Roman"/>
              </w:rPr>
              <w:t xml:space="preserve">94.1 </w:t>
            </w:r>
          </w:p>
        </w:tc>
        <w:tc>
          <w:tcPr>
            <w:tcW w:w="970" w:type="pct"/>
            <w:vAlign w:val="center"/>
          </w:tcPr>
          <w:p w14:paraId="45B587A9">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1C0C31D9">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6D08418D">
            <w:pPr>
              <w:spacing w:line="0" w:lineRule="atLeast"/>
              <w:jc w:val="center"/>
              <w:rPr>
                <w:rFonts w:ascii="Times New Roman" w:hAnsi="Times New Roman"/>
              </w:rPr>
            </w:pPr>
            <w:r>
              <w:rPr>
                <w:rFonts w:ascii="Times New Roman" w:hAnsi="Times New Roman"/>
              </w:rPr>
              <w:t xml:space="preserve">94.00 </w:t>
            </w:r>
          </w:p>
        </w:tc>
      </w:tr>
      <w:tr w14:paraId="6DA6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045347E9">
            <w:pPr>
              <w:spacing w:line="0" w:lineRule="atLeast"/>
              <w:jc w:val="center"/>
              <w:rPr>
                <w:rFonts w:ascii="Times New Roman" w:hAnsi="Times New Roman"/>
              </w:rPr>
            </w:pPr>
            <w:r>
              <w:rPr>
                <w:rFonts w:ascii="Times New Roman" w:hAnsi="Times New Roman"/>
              </w:rPr>
              <w:t>特级一等3</w:t>
            </w:r>
          </w:p>
        </w:tc>
        <w:tc>
          <w:tcPr>
            <w:tcW w:w="969" w:type="pct"/>
            <w:vAlign w:val="center"/>
          </w:tcPr>
          <w:p w14:paraId="4EC73DE9">
            <w:pPr>
              <w:spacing w:line="0" w:lineRule="atLeast"/>
              <w:jc w:val="center"/>
              <w:rPr>
                <w:rFonts w:ascii="Times New Roman" w:hAnsi="Times New Roman"/>
              </w:rPr>
            </w:pPr>
            <w:r>
              <w:rPr>
                <w:rFonts w:ascii="Times New Roman" w:hAnsi="Times New Roman"/>
              </w:rPr>
              <w:t xml:space="preserve">93.9 </w:t>
            </w:r>
          </w:p>
        </w:tc>
        <w:tc>
          <w:tcPr>
            <w:tcW w:w="970" w:type="pct"/>
            <w:vAlign w:val="center"/>
          </w:tcPr>
          <w:p w14:paraId="379C27EA">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409553C3">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68ADF591">
            <w:pPr>
              <w:spacing w:line="0" w:lineRule="atLeast"/>
              <w:jc w:val="center"/>
              <w:rPr>
                <w:rFonts w:ascii="Times New Roman" w:hAnsi="Times New Roman"/>
              </w:rPr>
            </w:pPr>
            <w:r>
              <w:rPr>
                <w:rFonts w:ascii="Times New Roman" w:hAnsi="Times New Roman"/>
              </w:rPr>
              <w:t xml:space="preserve">93.93 </w:t>
            </w:r>
          </w:p>
        </w:tc>
      </w:tr>
      <w:tr w14:paraId="7DB0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34EAB909">
            <w:pPr>
              <w:spacing w:line="0" w:lineRule="atLeast"/>
              <w:jc w:val="center"/>
              <w:rPr>
                <w:rFonts w:ascii="Times New Roman" w:hAnsi="Times New Roman"/>
              </w:rPr>
            </w:pPr>
            <w:r>
              <w:rPr>
                <w:rFonts w:ascii="Times New Roman" w:hAnsi="Times New Roman"/>
              </w:rPr>
              <w:t>特级一等4</w:t>
            </w:r>
          </w:p>
        </w:tc>
        <w:tc>
          <w:tcPr>
            <w:tcW w:w="969" w:type="pct"/>
            <w:vAlign w:val="center"/>
          </w:tcPr>
          <w:p w14:paraId="64BF432D">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583E924A">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59448FDB">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7543DD36">
            <w:pPr>
              <w:spacing w:line="0" w:lineRule="atLeast"/>
              <w:jc w:val="center"/>
              <w:rPr>
                <w:rFonts w:ascii="Times New Roman" w:hAnsi="Times New Roman"/>
              </w:rPr>
            </w:pPr>
            <w:r>
              <w:rPr>
                <w:rFonts w:ascii="Times New Roman" w:hAnsi="Times New Roman"/>
              </w:rPr>
              <w:t xml:space="preserve">93.97 </w:t>
            </w:r>
          </w:p>
        </w:tc>
      </w:tr>
      <w:tr w14:paraId="03D1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385F50CB">
            <w:pPr>
              <w:spacing w:line="0" w:lineRule="atLeast"/>
              <w:jc w:val="center"/>
              <w:rPr>
                <w:rFonts w:ascii="Times New Roman" w:hAnsi="Times New Roman"/>
              </w:rPr>
            </w:pPr>
            <w:r>
              <w:rPr>
                <w:rFonts w:ascii="Times New Roman" w:hAnsi="Times New Roman"/>
              </w:rPr>
              <w:t>特级一等5</w:t>
            </w:r>
          </w:p>
        </w:tc>
        <w:tc>
          <w:tcPr>
            <w:tcW w:w="969" w:type="pct"/>
            <w:vAlign w:val="center"/>
          </w:tcPr>
          <w:p w14:paraId="5E9E4E17">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37FDF484">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22D7B072">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489714B2">
            <w:pPr>
              <w:spacing w:line="0" w:lineRule="atLeast"/>
              <w:jc w:val="center"/>
              <w:rPr>
                <w:rFonts w:ascii="Times New Roman" w:hAnsi="Times New Roman"/>
              </w:rPr>
            </w:pPr>
            <w:r>
              <w:rPr>
                <w:rFonts w:ascii="Times New Roman" w:hAnsi="Times New Roman"/>
              </w:rPr>
              <w:t xml:space="preserve">93.97 </w:t>
            </w:r>
          </w:p>
        </w:tc>
      </w:tr>
      <w:tr w14:paraId="041D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00F0F2E3">
            <w:pPr>
              <w:spacing w:line="0" w:lineRule="atLeast"/>
              <w:jc w:val="center"/>
              <w:rPr>
                <w:rFonts w:ascii="Times New Roman" w:hAnsi="Times New Roman"/>
              </w:rPr>
            </w:pPr>
            <w:r>
              <w:rPr>
                <w:rFonts w:ascii="Times New Roman" w:hAnsi="Times New Roman"/>
              </w:rPr>
              <w:t>特级一等6</w:t>
            </w:r>
          </w:p>
        </w:tc>
        <w:tc>
          <w:tcPr>
            <w:tcW w:w="969" w:type="pct"/>
            <w:vAlign w:val="center"/>
          </w:tcPr>
          <w:p w14:paraId="2518CA01">
            <w:pPr>
              <w:spacing w:line="0" w:lineRule="atLeast"/>
              <w:jc w:val="center"/>
              <w:rPr>
                <w:rFonts w:ascii="Times New Roman" w:hAnsi="Times New Roman"/>
              </w:rPr>
            </w:pPr>
            <w:r>
              <w:rPr>
                <w:rFonts w:ascii="Times New Roman" w:hAnsi="Times New Roman"/>
              </w:rPr>
              <w:t xml:space="preserve">93.9 </w:t>
            </w:r>
          </w:p>
        </w:tc>
        <w:tc>
          <w:tcPr>
            <w:tcW w:w="970" w:type="pct"/>
            <w:vAlign w:val="center"/>
          </w:tcPr>
          <w:p w14:paraId="3485311E">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09BEADEF">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72C20A23">
            <w:pPr>
              <w:spacing w:line="0" w:lineRule="atLeast"/>
              <w:jc w:val="center"/>
              <w:rPr>
                <w:rFonts w:ascii="Times New Roman" w:hAnsi="Times New Roman"/>
              </w:rPr>
            </w:pPr>
            <w:r>
              <w:rPr>
                <w:rFonts w:ascii="Times New Roman" w:hAnsi="Times New Roman"/>
              </w:rPr>
              <w:t xml:space="preserve">93.93 </w:t>
            </w:r>
          </w:p>
        </w:tc>
      </w:tr>
      <w:tr w14:paraId="170B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3CB038FC">
            <w:pPr>
              <w:spacing w:line="0" w:lineRule="atLeast"/>
              <w:jc w:val="center"/>
              <w:rPr>
                <w:rFonts w:ascii="Times New Roman" w:hAnsi="Times New Roman"/>
              </w:rPr>
            </w:pPr>
            <w:r>
              <w:rPr>
                <w:rFonts w:ascii="Times New Roman" w:hAnsi="Times New Roman"/>
              </w:rPr>
              <w:t>特级一等7</w:t>
            </w:r>
          </w:p>
        </w:tc>
        <w:tc>
          <w:tcPr>
            <w:tcW w:w="969" w:type="pct"/>
            <w:vAlign w:val="center"/>
          </w:tcPr>
          <w:p w14:paraId="482D1552">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2AEB3617">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59054058">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5336D2BC">
            <w:pPr>
              <w:spacing w:line="0" w:lineRule="atLeast"/>
              <w:jc w:val="center"/>
              <w:rPr>
                <w:rFonts w:ascii="Times New Roman" w:hAnsi="Times New Roman"/>
              </w:rPr>
            </w:pPr>
            <w:r>
              <w:rPr>
                <w:rFonts w:ascii="Times New Roman" w:hAnsi="Times New Roman"/>
              </w:rPr>
              <w:t xml:space="preserve">93.97 </w:t>
            </w:r>
          </w:p>
        </w:tc>
      </w:tr>
      <w:tr w14:paraId="1704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6566DABD">
            <w:pPr>
              <w:spacing w:line="0" w:lineRule="atLeast"/>
              <w:jc w:val="center"/>
              <w:rPr>
                <w:rFonts w:ascii="Times New Roman" w:hAnsi="Times New Roman"/>
              </w:rPr>
            </w:pPr>
            <w:r>
              <w:rPr>
                <w:rFonts w:ascii="Times New Roman" w:hAnsi="Times New Roman"/>
              </w:rPr>
              <w:t>特级一等8</w:t>
            </w:r>
          </w:p>
        </w:tc>
        <w:tc>
          <w:tcPr>
            <w:tcW w:w="969" w:type="pct"/>
            <w:vAlign w:val="center"/>
          </w:tcPr>
          <w:p w14:paraId="6126CBC7">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6ADA6376">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2EB28795">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611797DC">
            <w:pPr>
              <w:spacing w:line="0" w:lineRule="atLeast"/>
              <w:jc w:val="center"/>
              <w:rPr>
                <w:rFonts w:ascii="Times New Roman" w:hAnsi="Times New Roman"/>
              </w:rPr>
            </w:pPr>
            <w:r>
              <w:rPr>
                <w:rFonts w:ascii="Times New Roman" w:hAnsi="Times New Roman"/>
              </w:rPr>
              <w:t xml:space="preserve">93.97 </w:t>
            </w:r>
          </w:p>
        </w:tc>
      </w:tr>
      <w:tr w14:paraId="6C98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795F79A0">
            <w:pPr>
              <w:spacing w:line="0" w:lineRule="atLeast"/>
              <w:jc w:val="center"/>
              <w:rPr>
                <w:rFonts w:ascii="Times New Roman" w:hAnsi="Times New Roman"/>
              </w:rPr>
            </w:pPr>
            <w:r>
              <w:rPr>
                <w:rFonts w:ascii="Times New Roman" w:hAnsi="Times New Roman"/>
              </w:rPr>
              <w:t>特级一等9</w:t>
            </w:r>
          </w:p>
        </w:tc>
        <w:tc>
          <w:tcPr>
            <w:tcW w:w="969" w:type="pct"/>
            <w:vAlign w:val="center"/>
          </w:tcPr>
          <w:p w14:paraId="6D74B31F">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641D7780">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09346121">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010D9FF9">
            <w:pPr>
              <w:spacing w:line="0" w:lineRule="atLeast"/>
              <w:jc w:val="center"/>
              <w:rPr>
                <w:rFonts w:ascii="Times New Roman" w:hAnsi="Times New Roman"/>
              </w:rPr>
            </w:pPr>
            <w:r>
              <w:rPr>
                <w:rFonts w:ascii="Times New Roman" w:hAnsi="Times New Roman"/>
              </w:rPr>
              <w:t xml:space="preserve">93.97 </w:t>
            </w:r>
          </w:p>
        </w:tc>
      </w:tr>
      <w:tr w14:paraId="60FD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7" w:type="pct"/>
            <w:vAlign w:val="center"/>
          </w:tcPr>
          <w:p w14:paraId="793E434D">
            <w:pPr>
              <w:spacing w:line="0" w:lineRule="atLeast"/>
              <w:jc w:val="center"/>
              <w:rPr>
                <w:rFonts w:ascii="Times New Roman" w:hAnsi="Times New Roman"/>
              </w:rPr>
            </w:pPr>
            <w:r>
              <w:rPr>
                <w:rFonts w:ascii="Times New Roman" w:hAnsi="Times New Roman"/>
              </w:rPr>
              <w:t>特级一等10</w:t>
            </w:r>
          </w:p>
        </w:tc>
        <w:tc>
          <w:tcPr>
            <w:tcW w:w="969" w:type="pct"/>
            <w:vAlign w:val="center"/>
          </w:tcPr>
          <w:p w14:paraId="0D5C218D">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6765BDD9">
            <w:pPr>
              <w:spacing w:line="0" w:lineRule="atLeast"/>
              <w:jc w:val="center"/>
              <w:rPr>
                <w:rFonts w:ascii="Times New Roman" w:hAnsi="Times New Roman"/>
              </w:rPr>
            </w:pPr>
            <w:r>
              <w:rPr>
                <w:rFonts w:ascii="Times New Roman" w:hAnsi="Times New Roman"/>
              </w:rPr>
              <w:t xml:space="preserve">94.0 </w:t>
            </w:r>
          </w:p>
        </w:tc>
        <w:tc>
          <w:tcPr>
            <w:tcW w:w="970" w:type="pct"/>
            <w:vAlign w:val="center"/>
          </w:tcPr>
          <w:p w14:paraId="72F6F610">
            <w:pPr>
              <w:spacing w:line="0" w:lineRule="atLeast"/>
              <w:jc w:val="center"/>
              <w:rPr>
                <w:rFonts w:ascii="Times New Roman" w:hAnsi="Times New Roman"/>
              </w:rPr>
            </w:pPr>
            <w:r>
              <w:rPr>
                <w:rFonts w:ascii="Times New Roman" w:hAnsi="Times New Roman"/>
              </w:rPr>
              <w:t xml:space="preserve">93.9 </w:t>
            </w:r>
          </w:p>
        </w:tc>
        <w:tc>
          <w:tcPr>
            <w:tcW w:w="1102" w:type="pct"/>
            <w:vAlign w:val="center"/>
          </w:tcPr>
          <w:p w14:paraId="63CA59AD">
            <w:pPr>
              <w:spacing w:line="0" w:lineRule="atLeast"/>
              <w:jc w:val="center"/>
              <w:rPr>
                <w:rFonts w:ascii="Times New Roman" w:hAnsi="Times New Roman"/>
              </w:rPr>
            </w:pPr>
            <w:r>
              <w:rPr>
                <w:rFonts w:ascii="Times New Roman" w:hAnsi="Times New Roman"/>
              </w:rPr>
              <w:t xml:space="preserve">93.97 </w:t>
            </w:r>
          </w:p>
        </w:tc>
      </w:tr>
    </w:tbl>
    <w:p w14:paraId="26F86661">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D.</w:t>
      </w:r>
      <w:r>
        <w:rPr>
          <w:rFonts w:ascii="Times New Roman" w:hAnsi="Times New Roman" w:eastAsia="黑体"/>
          <w:spacing w:val="-6"/>
        </w:rPr>
        <w:t>3 洞庭山碧螺春茶感官分级标准样品均匀性检验方差分析表（以特级一等为例）</w:t>
      </w:r>
    </w:p>
    <w:tbl>
      <w:tblPr>
        <w:tblStyle w:val="28"/>
        <w:tblW w:w="4868" w:type="pct"/>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2528"/>
        <w:gridCol w:w="2481"/>
        <w:gridCol w:w="1542"/>
        <w:gridCol w:w="1473"/>
      </w:tblGrid>
      <w:tr w14:paraId="2FD5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94" w:type="pct"/>
            <w:vAlign w:val="center"/>
          </w:tcPr>
          <w:p w14:paraId="68840FE5">
            <w:pPr>
              <w:spacing w:line="0" w:lineRule="atLeast"/>
              <w:jc w:val="center"/>
              <w:rPr>
                <w:rFonts w:ascii="Times New Roman" w:hAnsi="Times New Roman"/>
              </w:rPr>
            </w:pPr>
            <w:r>
              <w:rPr>
                <w:rFonts w:ascii="Times New Roman" w:hAnsi="Times New Roman"/>
              </w:rPr>
              <w:t>等级</w:t>
            </w:r>
          </w:p>
        </w:tc>
        <w:tc>
          <w:tcPr>
            <w:tcW w:w="1356" w:type="pct"/>
            <w:noWrap/>
            <w:vAlign w:val="center"/>
          </w:tcPr>
          <w:p w14:paraId="6D840BFA">
            <w:pPr>
              <w:spacing w:line="0" w:lineRule="atLeast"/>
              <w:jc w:val="center"/>
              <w:rPr>
                <w:rFonts w:ascii="Times New Roman" w:hAnsi="Times New Roman"/>
              </w:rPr>
            </w:pPr>
            <w:r>
              <w:rPr>
                <w:rFonts w:ascii="Times New Roman" w:hAnsi="Times New Roman"/>
              </w:rPr>
              <w:t>变差源</w:t>
            </w:r>
          </w:p>
        </w:tc>
        <w:tc>
          <w:tcPr>
            <w:tcW w:w="1331" w:type="pct"/>
            <w:vAlign w:val="center"/>
          </w:tcPr>
          <w:p w14:paraId="508D2AE8">
            <w:pPr>
              <w:spacing w:line="0" w:lineRule="atLeast"/>
              <w:jc w:val="center"/>
              <w:rPr>
                <w:rFonts w:ascii="Times New Roman" w:hAnsi="Times New Roman"/>
              </w:rPr>
            </w:pPr>
            <w:r>
              <w:rPr>
                <w:rFonts w:ascii="Times New Roman" w:hAnsi="Times New Roman"/>
              </w:rPr>
              <w:t>SS</w:t>
            </w:r>
          </w:p>
        </w:tc>
        <w:tc>
          <w:tcPr>
            <w:tcW w:w="827" w:type="pct"/>
            <w:vAlign w:val="center"/>
          </w:tcPr>
          <w:p w14:paraId="58AA14CC">
            <w:pPr>
              <w:spacing w:line="0" w:lineRule="atLeast"/>
              <w:jc w:val="center"/>
              <w:rPr>
                <w:rFonts w:ascii="Times New Roman" w:hAnsi="Times New Roman"/>
              </w:rPr>
            </w:pPr>
            <w:r>
              <w:rPr>
                <w:rFonts w:ascii="Times New Roman" w:hAnsi="Times New Roman"/>
              </w:rPr>
              <w:t>自由度</w:t>
            </w:r>
          </w:p>
        </w:tc>
        <w:tc>
          <w:tcPr>
            <w:tcW w:w="790" w:type="pct"/>
            <w:vAlign w:val="center"/>
          </w:tcPr>
          <w:p w14:paraId="02305B59">
            <w:pPr>
              <w:spacing w:line="0" w:lineRule="atLeast"/>
              <w:jc w:val="center"/>
              <w:rPr>
                <w:rFonts w:ascii="Times New Roman" w:hAnsi="Times New Roman"/>
              </w:rPr>
            </w:pPr>
            <w:r>
              <w:rPr>
                <w:rFonts w:ascii="Times New Roman" w:hAnsi="Times New Roman"/>
              </w:rPr>
              <w:t>MS</w:t>
            </w:r>
          </w:p>
        </w:tc>
      </w:tr>
      <w:tr w14:paraId="1D81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94" w:type="pct"/>
            <w:vMerge w:val="restart"/>
            <w:vAlign w:val="center"/>
          </w:tcPr>
          <w:p w14:paraId="6575CFC4">
            <w:pPr>
              <w:spacing w:line="0" w:lineRule="atLeast"/>
              <w:jc w:val="center"/>
              <w:rPr>
                <w:rFonts w:ascii="Times New Roman" w:hAnsi="Times New Roman"/>
              </w:rPr>
            </w:pPr>
            <w:r>
              <w:rPr>
                <w:rFonts w:ascii="Times New Roman" w:hAnsi="Times New Roman"/>
              </w:rPr>
              <w:t>特级一等</w:t>
            </w:r>
          </w:p>
        </w:tc>
        <w:tc>
          <w:tcPr>
            <w:tcW w:w="1356" w:type="pct"/>
            <w:noWrap/>
            <w:vAlign w:val="center"/>
          </w:tcPr>
          <w:p w14:paraId="5B3F5F2F">
            <w:pPr>
              <w:spacing w:line="0" w:lineRule="atLeast"/>
              <w:jc w:val="center"/>
              <w:rPr>
                <w:rFonts w:ascii="Times New Roman" w:hAnsi="Times New Roman"/>
              </w:rPr>
            </w:pPr>
            <w:r>
              <w:rPr>
                <w:rFonts w:ascii="Times New Roman" w:hAnsi="Times New Roman"/>
              </w:rPr>
              <w:t>罐间（among）</w:t>
            </w:r>
          </w:p>
        </w:tc>
        <w:tc>
          <w:tcPr>
            <w:tcW w:w="1331" w:type="pct"/>
            <w:noWrap/>
            <w:vAlign w:val="center"/>
          </w:tcPr>
          <w:p w14:paraId="10DCD87D">
            <w:pPr>
              <w:spacing w:line="0" w:lineRule="atLeast"/>
              <w:jc w:val="center"/>
              <w:rPr>
                <w:rFonts w:ascii="Times New Roman" w:hAnsi="Times New Roman"/>
              </w:rPr>
            </w:pPr>
            <w:r>
              <w:rPr>
                <w:rFonts w:ascii="Times New Roman" w:hAnsi="Times New Roman"/>
              </w:rPr>
              <w:t>9.63E</w:t>
            </w:r>
            <w:r>
              <w:rPr>
                <w:rFonts w:ascii="Times New Roman" w:hAnsi="Times New Roman"/>
                <w:vertAlign w:val="superscript"/>
              </w:rPr>
              <w:t>-3</w:t>
            </w:r>
          </w:p>
        </w:tc>
        <w:tc>
          <w:tcPr>
            <w:tcW w:w="827" w:type="pct"/>
            <w:noWrap/>
            <w:vAlign w:val="center"/>
          </w:tcPr>
          <w:p w14:paraId="7C905E68">
            <w:pPr>
              <w:spacing w:line="0" w:lineRule="atLeast"/>
              <w:jc w:val="center"/>
              <w:rPr>
                <w:rFonts w:ascii="Times New Roman" w:hAnsi="Times New Roman"/>
              </w:rPr>
            </w:pPr>
            <w:r>
              <w:rPr>
                <w:rFonts w:ascii="Times New Roman" w:hAnsi="Times New Roman"/>
              </w:rPr>
              <w:t>9</w:t>
            </w:r>
          </w:p>
        </w:tc>
        <w:tc>
          <w:tcPr>
            <w:tcW w:w="790" w:type="pct"/>
            <w:noWrap/>
            <w:vAlign w:val="center"/>
          </w:tcPr>
          <w:p w14:paraId="6EB53093">
            <w:pPr>
              <w:spacing w:line="0" w:lineRule="atLeast"/>
              <w:jc w:val="center"/>
              <w:rPr>
                <w:rFonts w:ascii="Times New Roman" w:hAnsi="Times New Roman"/>
              </w:rPr>
            </w:pPr>
            <w:r>
              <w:rPr>
                <w:rFonts w:ascii="Times New Roman" w:hAnsi="Times New Roman"/>
              </w:rPr>
              <w:t>1.07E</w:t>
            </w:r>
            <w:r>
              <w:rPr>
                <w:rFonts w:ascii="Times New Roman" w:hAnsi="Times New Roman"/>
                <w:vertAlign w:val="superscript"/>
              </w:rPr>
              <w:t>-3</w:t>
            </w:r>
          </w:p>
        </w:tc>
      </w:tr>
      <w:tr w14:paraId="4BC9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94" w:type="pct"/>
            <w:vMerge w:val="continue"/>
            <w:vAlign w:val="center"/>
          </w:tcPr>
          <w:p w14:paraId="440090E4">
            <w:pPr>
              <w:spacing w:line="0" w:lineRule="atLeast"/>
              <w:jc w:val="center"/>
              <w:rPr>
                <w:rFonts w:ascii="Times New Roman" w:hAnsi="Times New Roman"/>
              </w:rPr>
            </w:pPr>
          </w:p>
        </w:tc>
        <w:tc>
          <w:tcPr>
            <w:tcW w:w="1356" w:type="pct"/>
            <w:noWrap/>
            <w:vAlign w:val="center"/>
          </w:tcPr>
          <w:p w14:paraId="2951F818">
            <w:pPr>
              <w:spacing w:line="0" w:lineRule="atLeast"/>
              <w:jc w:val="center"/>
              <w:rPr>
                <w:rFonts w:ascii="Times New Roman" w:hAnsi="Times New Roman"/>
              </w:rPr>
            </w:pPr>
            <w:r>
              <w:rPr>
                <w:rFonts w:ascii="Times New Roman" w:hAnsi="Times New Roman"/>
              </w:rPr>
              <w:t>罐内(within)</w:t>
            </w:r>
          </w:p>
        </w:tc>
        <w:tc>
          <w:tcPr>
            <w:tcW w:w="1331" w:type="pct"/>
            <w:noWrap/>
            <w:vAlign w:val="center"/>
          </w:tcPr>
          <w:p w14:paraId="2324DDF4">
            <w:pPr>
              <w:spacing w:line="0" w:lineRule="atLeast"/>
              <w:jc w:val="center"/>
              <w:rPr>
                <w:rFonts w:ascii="Times New Roman" w:hAnsi="Times New Roman"/>
              </w:rPr>
            </w:pPr>
            <w:r>
              <w:rPr>
                <w:rFonts w:ascii="Times New Roman" w:hAnsi="Times New Roman"/>
              </w:rPr>
              <w:t>8.00E</w:t>
            </w:r>
            <w:r>
              <w:rPr>
                <w:rFonts w:ascii="Times New Roman" w:hAnsi="Times New Roman"/>
                <w:vertAlign w:val="superscript"/>
              </w:rPr>
              <w:t>-2</w:t>
            </w:r>
          </w:p>
        </w:tc>
        <w:tc>
          <w:tcPr>
            <w:tcW w:w="827" w:type="pct"/>
            <w:noWrap/>
            <w:vAlign w:val="center"/>
          </w:tcPr>
          <w:p w14:paraId="0EB5E975">
            <w:pPr>
              <w:spacing w:line="0" w:lineRule="atLeast"/>
              <w:jc w:val="center"/>
              <w:rPr>
                <w:rFonts w:ascii="Times New Roman" w:hAnsi="Times New Roman"/>
              </w:rPr>
            </w:pPr>
            <w:r>
              <w:rPr>
                <w:rFonts w:ascii="Times New Roman" w:hAnsi="Times New Roman"/>
              </w:rPr>
              <w:t>20</w:t>
            </w:r>
          </w:p>
        </w:tc>
        <w:tc>
          <w:tcPr>
            <w:tcW w:w="790" w:type="pct"/>
            <w:noWrap/>
            <w:vAlign w:val="center"/>
          </w:tcPr>
          <w:p w14:paraId="32C88039">
            <w:pPr>
              <w:spacing w:line="0" w:lineRule="atLeast"/>
              <w:jc w:val="center"/>
              <w:rPr>
                <w:rFonts w:ascii="Times New Roman" w:hAnsi="Times New Roman"/>
              </w:rPr>
            </w:pPr>
            <w:r>
              <w:rPr>
                <w:rFonts w:ascii="Times New Roman" w:hAnsi="Times New Roman"/>
              </w:rPr>
              <w:t>4.00E</w:t>
            </w:r>
            <w:r>
              <w:rPr>
                <w:rFonts w:ascii="Times New Roman" w:hAnsi="Times New Roman"/>
                <w:vertAlign w:val="superscript"/>
              </w:rPr>
              <w:t>-3</w:t>
            </w:r>
          </w:p>
        </w:tc>
      </w:tr>
      <w:tr w14:paraId="0046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94" w:type="pct"/>
            <w:vMerge w:val="continue"/>
            <w:vAlign w:val="center"/>
          </w:tcPr>
          <w:p w14:paraId="0DCA71A8">
            <w:pPr>
              <w:spacing w:line="0" w:lineRule="atLeast"/>
              <w:jc w:val="center"/>
              <w:rPr>
                <w:rFonts w:ascii="Times New Roman" w:hAnsi="Times New Roman"/>
              </w:rPr>
            </w:pPr>
          </w:p>
        </w:tc>
        <w:tc>
          <w:tcPr>
            <w:tcW w:w="1356" w:type="pct"/>
            <w:noWrap/>
            <w:vAlign w:val="center"/>
          </w:tcPr>
          <w:p w14:paraId="63F6E02E">
            <w:pPr>
              <w:spacing w:line="0" w:lineRule="atLeast"/>
              <w:jc w:val="center"/>
              <w:rPr>
                <w:rFonts w:ascii="Times New Roman" w:hAnsi="Times New Roman"/>
              </w:rPr>
            </w:pPr>
            <w:r>
              <w:rPr>
                <w:rFonts w:ascii="Times New Roman" w:hAnsi="Times New Roman"/>
              </w:rPr>
              <w:t>总和</w:t>
            </w:r>
          </w:p>
        </w:tc>
        <w:tc>
          <w:tcPr>
            <w:tcW w:w="1331" w:type="pct"/>
            <w:noWrap/>
            <w:vAlign w:val="center"/>
          </w:tcPr>
          <w:p w14:paraId="4165FEB1">
            <w:pPr>
              <w:spacing w:line="0" w:lineRule="atLeast"/>
              <w:jc w:val="center"/>
              <w:rPr>
                <w:rFonts w:ascii="Times New Roman" w:hAnsi="Times New Roman"/>
              </w:rPr>
            </w:pPr>
            <w:r>
              <w:rPr>
                <w:rFonts w:ascii="Times New Roman" w:hAnsi="Times New Roman"/>
              </w:rPr>
              <w:t>8.96E</w:t>
            </w:r>
            <w:r>
              <w:rPr>
                <w:rFonts w:ascii="Times New Roman" w:hAnsi="Times New Roman"/>
                <w:vertAlign w:val="superscript"/>
              </w:rPr>
              <w:t>-2</w:t>
            </w:r>
          </w:p>
        </w:tc>
        <w:tc>
          <w:tcPr>
            <w:tcW w:w="827" w:type="pct"/>
            <w:noWrap/>
            <w:vAlign w:val="center"/>
          </w:tcPr>
          <w:p w14:paraId="5DC28EA7">
            <w:pPr>
              <w:spacing w:line="0" w:lineRule="atLeast"/>
              <w:jc w:val="center"/>
              <w:rPr>
                <w:rFonts w:ascii="Times New Roman" w:hAnsi="Times New Roman"/>
              </w:rPr>
            </w:pPr>
            <w:r>
              <w:rPr>
                <w:rFonts w:ascii="Times New Roman" w:hAnsi="Times New Roman"/>
              </w:rPr>
              <w:t>29</w:t>
            </w:r>
          </w:p>
        </w:tc>
        <w:tc>
          <w:tcPr>
            <w:tcW w:w="790" w:type="pct"/>
            <w:vAlign w:val="center"/>
          </w:tcPr>
          <w:p w14:paraId="4B0870C6">
            <w:pPr>
              <w:spacing w:line="0" w:lineRule="atLeast"/>
              <w:jc w:val="center"/>
              <w:rPr>
                <w:rFonts w:ascii="Times New Roman" w:hAnsi="Times New Roman"/>
              </w:rPr>
            </w:pPr>
          </w:p>
        </w:tc>
      </w:tr>
    </w:tbl>
    <w:p w14:paraId="17D0BD99">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w:t>
      </w:r>
      <w:r>
        <w:rPr>
          <w:rFonts w:ascii="Times New Roman" w:hAnsi="Times New Roman" w:eastAsia="黑体"/>
          <w:snapToGrid w:val="0"/>
          <w:color w:val="000000"/>
          <w:spacing w:val="-6"/>
          <w:kern w:val="0"/>
        </w:rPr>
        <w:t>.6  稳定性</w:t>
      </w:r>
    </w:p>
    <w:p w14:paraId="526DC230">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对标准样品进行了长期稳定性检验。将样品存放于-18℃冷冻冰柜进行稳定性考察，</w:t>
      </w:r>
      <w:r>
        <w:rPr>
          <w:rFonts w:hint="eastAsia" w:ascii="Times New Roman" w:hAnsi="Times New Roman"/>
        </w:rPr>
        <w:t>检测</w:t>
      </w:r>
      <w:r>
        <w:rPr>
          <w:rFonts w:ascii="Times New Roman" w:hAnsi="Times New Roman"/>
        </w:rPr>
        <w:t>间隔期分别为0、1、</w:t>
      </w:r>
      <w:r>
        <w:rPr>
          <w:rFonts w:hint="eastAsia" w:ascii="Times New Roman" w:hAnsi="Times New Roman"/>
        </w:rPr>
        <w:t>3</w:t>
      </w:r>
      <w:r>
        <w:rPr>
          <w:rFonts w:ascii="Times New Roman" w:hAnsi="Times New Roman"/>
        </w:rPr>
        <w:t>、</w:t>
      </w:r>
      <w:r>
        <w:rPr>
          <w:rFonts w:hint="eastAsia" w:ascii="Times New Roman" w:hAnsi="Times New Roman"/>
        </w:rPr>
        <w:t>6</w:t>
      </w:r>
      <w:r>
        <w:rPr>
          <w:rFonts w:ascii="Times New Roman" w:hAnsi="Times New Roman"/>
        </w:rPr>
        <w:t>、</w:t>
      </w:r>
      <w:r>
        <w:rPr>
          <w:rFonts w:hint="eastAsia" w:ascii="Times New Roman" w:hAnsi="Times New Roman"/>
        </w:rPr>
        <w:t>10</w:t>
      </w:r>
      <w:r>
        <w:rPr>
          <w:rFonts w:ascii="Times New Roman" w:hAnsi="Times New Roman"/>
        </w:rPr>
        <w:t>、</w:t>
      </w:r>
      <w:r>
        <w:rPr>
          <w:rFonts w:hint="eastAsia" w:ascii="Times New Roman" w:hAnsi="Times New Roman"/>
        </w:rPr>
        <w:t>1</w:t>
      </w:r>
      <w:r>
        <w:rPr>
          <w:rFonts w:ascii="Times New Roman" w:hAnsi="Times New Roman"/>
        </w:rPr>
        <w:t>4、</w:t>
      </w:r>
      <w:r>
        <w:rPr>
          <w:rFonts w:hint="eastAsia" w:ascii="Times New Roman" w:hAnsi="Times New Roman"/>
        </w:rPr>
        <w:t>18</w:t>
      </w:r>
      <w:r>
        <w:rPr>
          <w:rFonts w:ascii="Times New Roman" w:hAnsi="Times New Roman"/>
        </w:rPr>
        <w:t>个月</w:t>
      </w:r>
      <w:r>
        <w:rPr>
          <w:rFonts w:hint="eastAsia" w:ascii="Times New Roman" w:hAnsi="Times New Roman"/>
        </w:rPr>
        <w:t>。</w:t>
      </w:r>
      <w:r>
        <w:rPr>
          <w:rFonts w:ascii="Times New Roman" w:hAnsi="Times New Roman"/>
        </w:rPr>
        <w:t>从每一等级标准样品中随机分层抽取2罐，由3名专家依据GB/T 23776进行稳定性检验</w:t>
      </w:r>
      <w:r>
        <w:rPr>
          <w:rFonts w:hint="eastAsia" w:ascii="Times New Roman" w:hAnsi="Times New Roman"/>
        </w:rPr>
        <w:t>。</w:t>
      </w:r>
      <w:r>
        <w:rPr>
          <w:rFonts w:ascii="Times New Roman" w:hAnsi="Times New Roman"/>
        </w:rPr>
        <w:t>稳定性检验专家均具有一级评茶师资质。</w:t>
      </w:r>
    </w:p>
    <w:p w14:paraId="04BB37CD">
      <w:pPr>
        <w:widowControl/>
        <w:kinsoku w:val="0"/>
        <w:autoSpaceDE w:val="0"/>
        <w:autoSpaceDN w:val="0"/>
        <w:snapToGrid w:val="0"/>
        <w:spacing w:line="360" w:lineRule="auto"/>
        <w:ind w:firstLine="420" w:firstLineChars="200"/>
        <w:textAlignment w:val="baseline"/>
        <w:rPr>
          <w:rFonts w:ascii="Times New Roman" w:hAnsi="Times New Roman"/>
        </w:rPr>
      </w:pPr>
      <w:r>
        <w:rPr>
          <w:rFonts w:hint="eastAsia" w:ascii="Times New Roman" w:hAnsi="Times New Roman"/>
        </w:rPr>
        <w:t>以特级一等为例，长期稳定性检验将</w:t>
      </w:r>
      <w:r>
        <w:rPr>
          <w:rFonts w:ascii="Times New Roman" w:hAnsi="Times New Roman"/>
        </w:rPr>
        <w:t>时间（x）与</w:t>
      </w:r>
      <w:r>
        <w:rPr>
          <w:rFonts w:hint="eastAsia" w:ascii="Times New Roman" w:hAnsi="Times New Roman"/>
        </w:rPr>
        <w:t>专家</w:t>
      </w:r>
      <w:r>
        <w:rPr>
          <w:rFonts w:ascii="Times New Roman" w:hAnsi="Times New Roman"/>
        </w:rPr>
        <w:t>审评平均分（y）进行拟合，计算得到</w:t>
      </w:r>
      <w:r>
        <w:rPr>
          <w:rFonts w:ascii="Times New Roman" w:hAnsi="Times New Roman"/>
          <w:i/>
          <w:iCs/>
        </w:rPr>
        <w:t>t</w:t>
      </w:r>
      <w:r>
        <w:rPr>
          <w:rFonts w:ascii="Times New Roman" w:hAnsi="Times New Roman"/>
          <w:i/>
          <w:iCs/>
          <w:vertAlign w:val="subscript"/>
        </w:rPr>
        <w:t>b</w:t>
      </w:r>
      <w:r>
        <w:rPr>
          <w:rFonts w:ascii="Times New Roman" w:hAnsi="Times New Roman"/>
          <w:i/>
          <w:iCs/>
          <w:vertAlign w:val="subscript"/>
        </w:rPr>
        <w:t>1</w:t>
      </w:r>
      <w:r>
        <w:rPr>
          <w:rFonts w:ascii="Times New Roman" w:hAnsi="Times New Roman"/>
        </w:rPr>
        <w:t>为2.48，t-检验的双尾临界值</w:t>
      </w:r>
      <w:r>
        <w:rPr>
          <w:rFonts w:hint="eastAsia" w:ascii="Times New Roman" w:hAnsi="Times New Roman"/>
        </w:rPr>
        <w:t>（5，95%）</w:t>
      </w:r>
      <w:r>
        <w:rPr>
          <w:rFonts w:ascii="Times New Roman" w:hAnsi="Times New Roman"/>
        </w:rPr>
        <w:t>为2.57，</w:t>
      </w:r>
      <w:r>
        <w:rPr>
          <w:rFonts w:ascii="Times New Roman" w:hAnsi="Times New Roman"/>
          <w:i/>
          <w:iCs/>
        </w:rPr>
        <w:t>t</w:t>
      </w:r>
      <w:r>
        <w:rPr>
          <w:rFonts w:ascii="Times New Roman" w:hAnsi="Times New Roman"/>
          <w:i/>
          <w:iCs/>
          <w:vertAlign w:val="subscript"/>
        </w:rPr>
        <w:t>b</w:t>
      </w:r>
      <w:r>
        <w:rPr>
          <w:rFonts w:ascii="Times New Roman" w:hAnsi="Times New Roman"/>
          <w:i/>
          <w:iCs/>
          <w:vertAlign w:val="subscript"/>
        </w:rPr>
        <w:t>1</w:t>
      </w:r>
      <w:r>
        <w:rPr>
          <w:rFonts w:ascii="Times New Roman" w:hAnsi="Times New Roman"/>
        </w:rPr>
        <w:t>小于临界值，因此，</w:t>
      </w:r>
      <w:r>
        <w:rPr>
          <w:rFonts w:hint="eastAsia" w:ascii="Times New Roman" w:hAnsi="Times New Roman"/>
        </w:rPr>
        <w:t>该</w:t>
      </w:r>
      <w:r>
        <w:rPr>
          <w:rFonts w:ascii="Times New Roman" w:hAnsi="Times New Roman"/>
        </w:rPr>
        <w:t>样品在-18℃的储存条件下是稳定的</w:t>
      </w:r>
      <w:r>
        <w:rPr>
          <w:rFonts w:hint="eastAsia" w:ascii="Times New Roman" w:hAnsi="Times New Roman"/>
        </w:rPr>
        <w:t>，长期稳定性的不确定度</w:t>
      </w:r>
      <w:r>
        <w:rPr>
          <w:rFonts w:ascii="Times New Roman" w:hAnsi="Times New Roman"/>
          <w:i/>
          <w:iCs/>
        </w:rPr>
        <w:t>u</w:t>
      </w:r>
      <w:r>
        <w:rPr>
          <w:rFonts w:ascii="Times New Roman" w:hAnsi="Times New Roman"/>
          <w:i/>
          <w:iCs/>
          <w:sz w:val="20"/>
          <w:szCs w:val="20"/>
          <w:vertAlign w:val="subscript"/>
        </w:rPr>
        <w:t>lts</w:t>
      </w:r>
      <w:r>
        <w:rPr>
          <w:rFonts w:hint="eastAsia" w:ascii="Times New Roman" w:hAnsi="Times New Roman"/>
        </w:rPr>
        <w:t>=0.123。</w:t>
      </w:r>
    </w:p>
    <w:p w14:paraId="56995958">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A.4</w:t>
      </w:r>
      <w:r>
        <w:rPr>
          <w:rFonts w:ascii="Times New Roman" w:hAnsi="Times New Roman" w:eastAsia="黑体"/>
          <w:spacing w:val="-6"/>
        </w:rPr>
        <w:t xml:space="preserve"> 洞庭山碧螺春茶感官分级标准样品长期稳定性检验结果（以特级一等为例）</w:t>
      </w:r>
    </w:p>
    <w:tbl>
      <w:tblPr>
        <w:tblStyle w:val="30"/>
        <w:tblW w:w="488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1470"/>
        <w:gridCol w:w="1349"/>
        <w:gridCol w:w="1349"/>
        <w:gridCol w:w="1353"/>
        <w:gridCol w:w="1349"/>
        <w:gridCol w:w="1248"/>
      </w:tblGrid>
      <w:tr w14:paraId="4FF0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restart"/>
            <w:noWrap/>
            <w:vAlign w:val="center"/>
          </w:tcPr>
          <w:p w14:paraId="1F828573">
            <w:pPr>
              <w:kinsoku w:val="0"/>
              <w:autoSpaceDE w:val="0"/>
              <w:autoSpaceDN w:val="0"/>
              <w:snapToGrid w:val="0"/>
              <w:jc w:val="center"/>
              <w:textAlignment w:val="baseline"/>
              <w:rPr>
                <w:rFonts w:ascii="Times New Roman" w:hAnsi="Times New Roman"/>
              </w:rPr>
            </w:pPr>
            <w:r>
              <w:rPr>
                <w:rFonts w:ascii="Times New Roman" w:hAnsi="Times New Roman"/>
              </w:rPr>
              <w:t>时间/月</w:t>
            </w:r>
          </w:p>
        </w:tc>
        <w:tc>
          <w:tcPr>
            <w:tcW w:w="786" w:type="pct"/>
            <w:vMerge w:val="restart"/>
            <w:noWrap/>
            <w:vAlign w:val="center"/>
          </w:tcPr>
          <w:p w14:paraId="2D369B92">
            <w:pPr>
              <w:kinsoku w:val="0"/>
              <w:autoSpaceDE w:val="0"/>
              <w:autoSpaceDN w:val="0"/>
              <w:snapToGrid w:val="0"/>
              <w:jc w:val="center"/>
              <w:textAlignment w:val="baseline"/>
              <w:rPr>
                <w:rFonts w:ascii="Times New Roman" w:hAnsi="Times New Roman"/>
              </w:rPr>
            </w:pPr>
            <w:r>
              <w:rPr>
                <w:rFonts w:ascii="Times New Roman" w:hAnsi="Times New Roman"/>
              </w:rPr>
              <w:t>取样</w:t>
            </w:r>
          </w:p>
        </w:tc>
        <w:tc>
          <w:tcPr>
            <w:tcW w:w="2165" w:type="pct"/>
            <w:gridSpan w:val="3"/>
            <w:noWrap/>
            <w:vAlign w:val="center"/>
          </w:tcPr>
          <w:p w14:paraId="6C23D95C">
            <w:pPr>
              <w:kinsoku w:val="0"/>
              <w:autoSpaceDE w:val="0"/>
              <w:autoSpaceDN w:val="0"/>
              <w:snapToGrid w:val="0"/>
              <w:jc w:val="center"/>
              <w:textAlignment w:val="baseline"/>
              <w:rPr>
                <w:rFonts w:ascii="Times New Roman" w:hAnsi="Times New Roman"/>
              </w:rPr>
            </w:pPr>
            <w:r>
              <w:rPr>
                <w:rFonts w:ascii="Times New Roman" w:hAnsi="Times New Roman"/>
              </w:rPr>
              <w:t>感官总分</w:t>
            </w:r>
          </w:p>
        </w:tc>
        <w:tc>
          <w:tcPr>
            <w:tcW w:w="721" w:type="pct"/>
            <w:vMerge w:val="restart"/>
            <w:noWrap/>
            <w:vAlign w:val="center"/>
          </w:tcPr>
          <w:p w14:paraId="65E3163C">
            <w:pPr>
              <w:kinsoku w:val="0"/>
              <w:autoSpaceDE w:val="0"/>
              <w:autoSpaceDN w:val="0"/>
              <w:snapToGrid w:val="0"/>
              <w:jc w:val="center"/>
              <w:textAlignment w:val="baseline"/>
              <w:rPr>
                <w:rFonts w:ascii="Times New Roman" w:hAnsi="Times New Roman"/>
              </w:rPr>
            </w:pPr>
            <w:r>
              <w:rPr>
                <w:rFonts w:ascii="Times New Roman" w:hAnsi="Times New Roman"/>
              </w:rPr>
              <w:t>单元均值</w:t>
            </w:r>
          </w:p>
        </w:tc>
        <w:tc>
          <w:tcPr>
            <w:tcW w:w="667" w:type="pct"/>
            <w:vMerge w:val="restart"/>
            <w:noWrap/>
            <w:vAlign w:val="center"/>
          </w:tcPr>
          <w:p w14:paraId="48C45EDE">
            <w:pPr>
              <w:kinsoku w:val="0"/>
              <w:autoSpaceDE w:val="0"/>
              <w:autoSpaceDN w:val="0"/>
              <w:snapToGrid w:val="0"/>
              <w:jc w:val="center"/>
              <w:textAlignment w:val="baseline"/>
              <w:rPr>
                <w:rFonts w:ascii="Times New Roman" w:hAnsi="Times New Roman"/>
              </w:rPr>
            </w:pPr>
            <w:r>
              <w:rPr>
                <w:rFonts w:ascii="Times New Roman" w:hAnsi="Times New Roman"/>
              </w:rPr>
              <w:t>总均值</w:t>
            </w:r>
          </w:p>
        </w:tc>
      </w:tr>
      <w:tr w14:paraId="2C19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continue"/>
            <w:vAlign w:val="center"/>
          </w:tcPr>
          <w:p w14:paraId="46C7E9D3">
            <w:pPr>
              <w:kinsoku w:val="0"/>
              <w:autoSpaceDE w:val="0"/>
              <w:autoSpaceDN w:val="0"/>
              <w:snapToGrid w:val="0"/>
              <w:jc w:val="center"/>
              <w:textAlignment w:val="baseline"/>
              <w:rPr>
                <w:rFonts w:ascii="Times New Roman" w:hAnsi="Times New Roman"/>
              </w:rPr>
            </w:pPr>
          </w:p>
        </w:tc>
        <w:tc>
          <w:tcPr>
            <w:tcW w:w="786" w:type="pct"/>
            <w:vMerge w:val="continue"/>
            <w:vAlign w:val="center"/>
          </w:tcPr>
          <w:p w14:paraId="5E06D12D">
            <w:pPr>
              <w:kinsoku w:val="0"/>
              <w:autoSpaceDE w:val="0"/>
              <w:autoSpaceDN w:val="0"/>
              <w:snapToGrid w:val="0"/>
              <w:jc w:val="center"/>
              <w:textAlignment w:val="baseline"/>
              <w:rPr>
                <w:rFonts w:ascii="Times New Roman" w:hAnsi="Times New Roman"/>
              </w:rPr>
            </w:pPr>
          </w:p>
        </w:tc>
        <w:tc>
          <w:tcPr>
            <w:tcW w:w="721" w:type="pct"/>
            <w:noWrap/>
            <w:vAlign w:val="center"/>
          </w:tcPr>
          <w:p w14:paraId="3C7A0A04">
            <w:pPr>
              <w:kinsoku w:val="0"/>
              <w:autoSpaceDE w:val="0"/>
              <w:autoSpaceDN w:val="0"/>
              <w:snapToGrid w:val="0"/>
              <w:jc w:val="center"/>
              <w:textAlignment w:val="baseline"/>
              <w:rPr>
                <w:rFonts w:ascii="Times New Roman" w:hAnsi="Times New Roman"/>
              </w:rPr>
            </w:pPr>
            <w:r>
              <w:rPr>
                <w:rFonts w:ascii="Times New Roman" w:hAnsi="Times New Roman"/>
              </w:rPr>
              <w:t>专家1</w:t>
            </w:r>
          </w:p>
        </w:tc>
        <w:tc>
          <w:tcPr>
            <w:tcW w:w="721" w:type="pct"/>
            <w:noWrap/>
            <w:vAlign w:val="center"/>
          </w:tcPr>
          <w:p w14:paraId="2447BE4F">
            <w:pPr>
              <w:kinsoku w:val="0"/>
              <w:autoSpaceDE w:val="0"/>
              <w:autoSpaceDN w:val="0"/>
              <w:snapToGrid w:val="0"/>
              <w:jc w:val="center"/>
              <w:textAlignment w:val="baseline"/>
              <w:rPr>
                <w:rFonts w:ascii="Times New Roman" w:hAnsi="Times New Roman"/>
              </w:rPr>
            </w:pPr>
            <w:r>
              <w:rPr>
                <w:rFonts w:ascii="Times New Roman" w:hAnsi="Times New Roman"/>
              </w:rPr>
              <w:t>专家2</w:t>
            </w:r>
          </w:p>
        </w:tc>
        <w:tc>
          <w:tcPr>
            <w:tcW w:w="721" w:type="pct"/>
            <w:noWrap/>
            <w:vAlign w:val="center"/>
          </w:tcPr>
          <w:p w14:paraId="653A737E">
            <w:pPr>
              <w:kinsoku w:val="0"/>
              <w:autoSpaceDE w:val="0"/>
              <w:autoSpaceDN w:val="0"/>
              <w:snapToGrid w:val="0"/>
              <w:jc w:val="center"/>
              <w:textAlignment w:val="baseline"/>
              <w:rPr>
                <w:rFonts w:ascii="Times New Roman" w:hAnsi="Times New Roman"/>
              </w:rPr>
            </w:pPr>
            <w:r>
              <w:rPr>
                <w:rFonts w:ascii="Times New Roman" w:hAnsi="Times New Roman"/>
              </w:rPr>
              <w:t>专家3</w:t>
            </w:r>
          </w:p>
        </w:tc>
        <w:tc>
          <w:tcPr>
            <w:tcW w:w="721" w:type="pct"/>
            <w:vMerge w:val="continue"/>
            <w:vAlign w:val="center"/>
          </w:tcPr>
          <w:p w14:paraId="69A7D794">
            <w:pPr>
              <w:kinsoku w:val="0"/>
              <w:autoSpaceDE w:val="0"/>
              <w:autoSpaceDN w:val="0"/>
              <w:snapToGrid w:val="0"/>
              <w:jc w:val="center"/>
              <w:textAlignment w:val="baseline"/>
              <w:rPr>
                <w:rFonts w:ascii="Times New Roman" w:hAnsi="Times New Roman"/>
              </w:rPr>
            </w:pPr>
          </w:p>
        </w:tc>
        <w:tc>
          <w:tcPr>
            <w:tcW w:w="667" w:type="pct"/>
            <w:vMerge w:val="continue"/>
            <w:vAlign w:val="center"/>
          </w:tcPr>
          <w:p w14:paraId="4D6B0E8D">
            <w:pPr>
              <w:kinsoku w:val="0"/>
              <w:autoSpaceDE w:val="0"/>
              <w:autoSpaceDN w:val="0"/>
              <w:snapToGrid w:val="0"/>
              <w:jc w:val="center"/>
              <w:textAlignment w:val="baseline"/>
              <w:rPr>
                <w:rFonts w:ascii="Times New Roman" w:hAnsi="Times New Roman"/>
              </w:rPr>
            </w:pPr>
          </w:p>
        </w:tc>
      </w:tr>
      <w:tr w14:paraId="53AD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restart"/>
            <w:noWrap/>
            <w:vAlign w:val="center"/>
          </w:tcPr>
          <w:p w14:paraId="1AE0B57D">
            <w:pPr>
              <w:kinsoku w:val="0"/>
              <w:autoSpaceDE w:val="0"/>
              <w:autoSpaceDN w:val="0"/>
              <w:snapToGrid w:val="0"/>
              <w:jc w:val="center"/>
              <w:textAlignment w:val="baseline"/>
              <w:rPr>
                <w:rFonts w:ascii="Times New Roman" w:hAnsi="Times New Roman"/>
              </w:rPr>
            </w:pPr>
            <w:r>
              <w:rPr>
                <w:rFonts w:ascii="Times New Roman" w:hAnsi="Times New Roman"/>
              </w:rPr>
              <w:t>0</w:t>
            </w:r>
          </w:p>
        </w:tc>
        <w:tc>
          <w:tcPr>
            <w:tcW w:w="786" w:type="pct"/>
            <w:noWrap/>
            <w:vAlign w:val="center"/>
          </w:tcPr>
          <w:p w14:paraId="68504051">
            <w:pPr>
              <w:kinsoku w:val="0"/>
              <w:autoSpaceDE w:val="0"/>
              <w:autoSpaceDN w:val="0"/>
              <w:snapToGrid w:val="0"/>
              <w:jc w:val="center"/>
              <w:textAlignment w:val="baseline"/>
              <w:rPr>
                <w:rFonts w:ascii="Times New Roman" w:hAnsi="Times New Roman"/>
              </w:rPr>
            </w:pPr>
            <w:r>
              <w:rPr>
                <w:rFonts w:ascii="Times New Roman" w:hAnsi="Times New Roman"/>
              </w:rPr>
              <w:t>特级一等1</w:t>
            </w:r>
          </w:p>
        </w:tc>
        <w:tc>
          <w:tcPr>
            <w:tcW w:w="721" w:type="pct"/>
            <w:noWrap/>
            <w:vAlign w:val="center"/>
          </w:tcPr>
          <w:p w14:paraId="39A237D4">
            <w:pPr>
              <w:kinsoku w:val="0"/>
              <w:autoSpaceDE w:val="0"/>
              <w:autoSpaceDN w:val="0"/>
              <w:snapToGrid w:val="0"/>
              <w:jc w:val="center"/>
              <w:textAlignment w:val="baseline"/>
              <w:rPr>
                <w:rFonts w:ascii="Times New Roman" w:hAnsi="Times New Roman"/>
              </w:rPr>
            </w:pPr>
            <w:r>
              <w:rPr>
                <w:rFonts w:ascii="Times New Roman" w:hAnsi="Times New Roman"/>
              </w:rPr>
              <w:t xml:space="preserve">93.8 </w:t>
            </w:r>
          </w:p>
        </w:tc>
        <w:tc>
          <w:tcPr>
            <w:tcW w:w="721" w:type="pct"/>
            <w:noWrap/>
            <w:vAlign w:val="center"/>
          </w:tcPr>
          <w:p w14:paraId="6890C356">
            <w:pPr>
              <w:kinsoku w:val="0"/>
              <w:autoSpaceDE w:val="0"/>
              <w:autoSpaceDN w:val="0"/>
              <w:snapToGrid w:val="0"/>
              <w:jc w:val="center"/>
              <w:textAlignment w:val="baseline"/>
              <w:rPr>
                <w:rFonts w:ascii="Times New Roman" w:hAnsi="Times New Roman"/>
              </w:rPr>
            </w:pPr>
            <w:r>
              <w:rPr>
                <w:rFonts w:ascii="Times New Roman" w:hAnsi="Times New Roman"/>
              </w:rPr>
              <w:t xml:space="preserve">94.1 </w:t>
            </w:r>
          </w:p>
        </w:tc>
        <w:tc>
          <w:tcPr>
            <w:tcW w:w="721" w:type="pct"/>
            <w:noWrap/>
            <w:vAlign w:val="center"/>
          </w:tcPr>
          <w:p w14:paraId="2CFFCBB4">
            <w:pPr>
              <w:kinsoku w:val="0"/>
              <w:autoSpaceDE w:val="0"/>
              <w:autoSpaceDN w:val="0"/>
              <w:snapToGrid w:val="0"/>
              <w:jc w:val="center"/>
              <w:textAlignment w:val="baseline"/>
              <w:rPr>
                <w:rFonts w:ascii="Times New Roman" w:hAnsi="Times New Roman"/>
              </w:rPr>
            </w:pPr>
            <w:r>
              <w:rPr>
                <w:rFonts w:ascii="Times New Roman" w:hAnsi="Times New Roman"/>
              </w:rPr>
              <w:t xml:space="preserve">93.8 </w:t>
            </w:r>
          </w:p>
        </w:tc>
        <w:tc>
          <w:tcPr>
            <w:tcW w:w="721" w:type="pct"/>
            <w:noWrap/>
            <w:vAlign w:val="center"/>
          </w:tcPr>
          <w:p w14:paraId="7F519AEA">
            <w:pPr>
              <w:kinsoku w:val="0"/>
              <w:autoSpaceDE w:val="0"/>
              <w:autoSpaceDN w:val="0"/>
              <w:snapToGrid w:val="0"/>
              <w:jc w:val="center"/>
              <w:textAlignment w:val="baseline"/>
              <w:rPr>
                <w:rFonts w:ascii="Times New Roman" w:hAnsi="Times New Roman"/>
              </w:rPr>
            </w:pPr>
            <w:r>
              <w:rPr>
                <w:rFonts w:ascii="Times New Roman" w:hAnsi="Times New Roman"/>
              </w:rPr>
              <w:t xml:space="preserve">93.91 </w:t>
            </w:r>
          </w:p>
        </w:tc>
        <w:tc>
          <w:tcPr>
            <w:tcW w:w="667" w:type="pct"/>
            <w:vMerge w:val="restart"/>
            <w:noWrap/>
            <w:vAlign w:val="center"/>
          </w:tcPr>
          <w:p w14:paraId="0893A2B6">
            <w:pPr>
              <w:kinsoku w:val="0"/>
              <w:autoSpaceDE w:val="0"/>
              <w:autoSpaceDN w:val="0"/>
              <w:snapToGrid w:val="0"/>
              <w:jc w:val="center"/>
              <w:textAlignment w:val="baseline"/>
              <w:rPr>
                <w:rFonts w:ascii="Times New Roman" w:hAnsi="Times New Roman"/>
              </w:rPr>
            </w:pPr>
            <w:r>
              <w:rPr>
                <w:rFonts w:ascii="Times New Roman" w:hAnsi="Times New Roman"/>
              </w:rPr>
              <w:t>93.97</w:t>
            </w:r>
          </w:p>
        </w:tc>
      </w:tr>
      <w:tr w14:paraId="279C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continue"/>
            <w:vAlign w:val="center"/>
          </w:tcPr>
          <w:p w14:paraId="3EC588DB">
            <w:pPr>
              <w:kinsoku w:val="0"/>
              <w:autoSpaceDE w:val="0"/>
              <w:autoSpaceDN w:val="0"/>
              <w:snapToGrid w:val="0"/>
              <w:jc w:val="center"/>
              <w:textAlignment w:val="baseline"/>
              <w:rPr>
                <w:rFonts w:ascii="Times New Roman" w:hAnsi="Times New Roman"/>
              </w:rPr>
            </w:pPr>
          </w:p>
        </w:tc>
        <w:tc>
          <w:tcPr>
            <w:tcW w:w="786" w:type="pct"/>
            <w:noWrap/>
            <w:vAlign w:val="center"/>
          </w:tcPr>
          <w:p w14:paraId="3570D748">
            <w:pPr>
              <w:kinsoku w:val="0"/>
              <w:autoSpaceDE w:val="0"/>
              <w:autoSpaceDN w:val="0"/>
              <w:snapToGrid w:val="0"/>
              <w:jc w:val="center"/>
              <w:textAlignment w:val="baseline"/>
              <w:rPr>
                <w:rFonts w:ascii="Times New Roman" w:hAnsi="Times New Roman"/>
              </w:rPr>
            </w:pPr>
            <w:r>
              <w:rPr>
                <w:rFonts w:ascii="Times New Roman" w:hAnsi="Times New Roman"/>
              </w:rPr>
              <w:t>特级一等2</w:t>
            </w:r>
          </w:p>
        </w:tc>
        <w:tc>
          <w:tcPr>
            <w:tcW w:w="721" w:type="pct"/>
            <w:noWrap/>
            <w:vAlign w:val="center"/>
          </w:tcPr>
          <w:p w14:paraId="4BB0E070">
            <w:pPr>
              <w:kinsoku w:val="0"/>
              <w:autoSpaceDE w:val="0"/>
              <w:autoSpaceDN w:val="0"/>
              <w:snapToGrid w:val="0"/>
              <w:jc w:val="center"/>
              <w:textAlignment w:val="baseline"/>
              <w:rPr>
                <w:rFonts w:ascii="Times New Roman" w:hAnsi="Times New Roman"/>
              </w:rPr>
            </w:pPr>
            <w:r>
              <w:rPr>
                <w:rFonts w:ascii="Times New Roman" w:hAnsi="Times New Roman"/>
              </w:rPr>
              <w:t xml:space="preserve">94.0 </w:t>
            </w:r>
          </w:p>
        </w:tc>
        <w:tc>
          <w:tcPr>
            <w:tcW w:w="721" w:type="pct"/>
            <w:noWrap/>
            <w:vAlign w:val="center"/>
          </w:tcPr>
          <w:p w14:paraId="10FE3796">
            <w:pPr>
              <w:kinsoku w:val="0"/>
              <w:autoSpaceDE w:val="0"/>
              <w:autoSpaceDN w:val="0"/>
              <w:snapToGrid w:val="0"/>
              <w:jc w:val="center"/>
              <w:textAlignment w:val="baseline"/>
              <w:rPr>
                <w:rFonts w:ascii="Times New Roman" w:hAnsi="Times New Roman"/>
              </w:rPr>
            </w:pPr>
            <w:r>
              <w:rPr>
                <w:rFonts w:ascii="Times New Roman" w:hAnsi="Times New Roman"/>
              </w:rPr>
              <w:t xml:space="preserve">94.1 </w:t>
            </w:r>
          </w:p>
        </w:tc>
        <w:tc>
          <w:tcPr>
            <w:tcW w:w="721" w:type="pct"/>
            <w:noWrap/>
            <w:vAlign w:val="center"/>
          </w:tcPr>
          <w:p w14:paraId="20CC757D">
            <w:pPr>
              <w:kinsoku w:val="0"/>
              <w:autoSpaceDE w:val="0"/>
              <w:autoSpaceDN w:val="0"/>
              <w:snapToGrid w:val="0"/>
              <w:jc w:val="center"/>
              <w:textAlignment w:val="baseline"/>
              <w:rPr>
                <w:rFonts w:ascii="Times New Roman" w:hAnsi="Times New Roman"/>
              </w:rPr>
            </w:pPr>
            <w:r>
              <w:rPr>
                <w:rFonts w:ascii="Times New Roman" w:hAnsi="Times New Roman"/>
              </w:rPr>
              <w:t xml:space="preserve">94.0 </w:t>
            </w:r>
          </w:p>
        </w:tc>
        <w:tc>
          <w:tcPr>
            <w:tcW w:w="721" w:type="pct"/>
            <w:noWrap/>
            <w:vAlign w:val="center"/>
          </w:tcPr>
          <w:p w14:paraId="0D5124C3">
            <w:pPr>
              <w:kinsoku w:val="0"/>
              <w:autoSpaceDE w:val="0"/>
              <w:autoSpaceDN w:val="0"/>
              <w:snapToGrid w:val="0"/>
              <w:jc w:val="center"/>
              <w:textAlignment w:val="baseline"/>
              <w:rPr>
                <w:rFonts w:ascii="Times New Roman" w:hAnsi="Times New Roman"/>
              </w:rPr>
            </w:pPr>
            <w:r>
              <w:rPr>
                <w:rFonts w:ascii="Times New Roman" w:hAnsi="Times New Roman"/>
              </w:rPr>
              <w:t xml:space="preserve">94.03 </w:t>
            </w:r>
          </w:p>
        </w:tc>
        <w:tc>
          <w:tcPr>
            <w:tcW w:w="667" w:type="pct"/>
            <w:vMerge w:val="continue"/>
            <w:vAlign w:val="center"/>
          </w:tcPr>
          <w:p w14:paraId="6B120177">
            <w:pPr>
              <w:kinsoku w:val="0"/>
              <w:autoSpaceDE w:val="0"/>
              <w:autoSpaceDN w:val="0"/>
              <w:snapToGrid w:val="0"/>
              <w:jc w:val="center"/>
              <w:textAlignment w:val="baseline"/>
              <w:rPr>
                <w:rFonts w:ascii="Times New Roman" w:hAnsi="Times New Roman"/>
              </w:rPr>
            </w:pPr>
          </w:p>
        </w:tc>
      </w:tr>
      <w:tr w14:paraId="1D41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restart"/>
            <w:noWrap/>
            <w:vAlign w:val="center"/>
          </w:tcPr>
          <w:p w14:paraId="14B68AE1">
            <w:pPr>
              <w:kinsoku w:val="0"/>
              <w:autoSpaceDE w:val="0"/>
              <w:autoSpaceDN w:val="0"/>
              <w:snapToGrid w:val="0"/>
              <w:jc w:val="center"/>
              <w:textAlignment w:val="baseline"/>
              <w:rPr>
                <w:rFonts w:ascii="Times New Roman" w:hAnsi="Times New Roman"/>
              </w:rPr>
            </w:pPr>
            <w:r>
              <w:rPr>
                <w:rFonts w:ascii="Times New Roman" w:hAnsi="Times New Roman"/>
              </w:rPr>
              <w:t>1</w:t>
            </w:r>
          </w:p>
        </w:tc>
        <w:tc>
          <w:tcPr>
            <w:tcW w:w="786" w:type="pct"/>
            <w:noWrap/>
            <w:vAlign w:val="center"/>
          </w:tcPr>
          <w:p w14:paraId="4A135F42">
            <w:pPr>
              <w:kinsoku w:val="0"/>
              <w:autoSpaceDE w:val="0"/>
              <w:autoSpaceDN w:val="0"/>
              <w:snapToGrid w:val="0"/>
              <w:jc w:val="center"/>
              <w:textAlignment w:val="baseline"/>
              <w:rPr>
                <w:rFonts w:ascii="Times New Roman" w:hAnsi="Times New Roman"/>
              </w:rPr>
            </w:pPr>
            <w:r>
              <w:rPr>
                <w:rFonts w:ascii="Times New Roman" w:hAnsi="Times New Roman"/>
              </w:rPr>
              <w:t>特级一等1</w:t>
            </w:r>
          </w:p>
        </w:tc>
        <w:tc>
          <w:tcPr>
            <w:tcW w:w="721" w:type="pct"/>
            <w:noWrap/>
            <w:vAlign w:val="center"/>
          </w:tcPr>
          <w:p w14:paraId="1CDB6856">
            <w:pPr>
              <w:kinsoku w:val="0"/>
              <w:autoSpaceDE w:val="0"/>
              <w:autoSpaceDN w:val="0"/>
              <w:snapToGrid w:val="0"/>
              <w:jc w:val="center"/>
              <w:textAlignment w:val="baseline"/>
              <w:rPr>
                <w:rFonts w:ascii="Times New Roman" w:hAnsi="Times New Roman"/>
              </w:rPr>
            </w:pPr>
            <w:r>
              <w:rPr>
                <w:rFonts w:ascii="Times New Roman" w:hAnsi="Times New Roman"/>
              </w:rPr>
              <w:t xml:space="preserve">93.7 </w:t>
            </w:r>
          </w:p>
        </w:tc>
        <w:tc>
          <w:tcPr>
            <w:tcW w:w="721" w:type="pct"/>
            <w:noWrap/>
            <w:vAlign w:val="center"/>
          </w:tcPr>
          <w:p w14:paraId="17089B6D">
            <w:pPr>
              <w:kinsoku w:val="0"/>
              <w:autoSpaceDE w:val="0"/>
              <w:autoSpaceDN w:val="0"/>
              <w:snapToGrid w:val="0"/>
              <w:jc w:val="center"/>
              <w:textAlignment w:val="baseline"/>
              <w:rPr>
                <w:rFonts w:ascii="Times New Roman" w:hAnsi="Times New Roman"/>
              </w:rPr>
            </w:pPr>
            <w:r>
              <w:rPr>
                <w:rFonts w:ascii="Times New Roman" w:hAnsi="Times New Roman"/>
              </w:rPr>
              <w:t xml:space="preserve">93.8 </w:t>
            </w:r>
          </w:p>
        </w:tc>
        <w:tc>
          <w:tcPr>
            <w:tcW w:w="721" w:type="pct"/>
            <w:noWrap/>
            <w:vAlign w:val="center"/>
          </w:tcPr>
          <w:p w14:paraId="0378912B">
            <w:pPr>
              <w:kinsoku w:val="0"/>
              <w:autoSpaceDE w:val="0"/>
              <w:autoSpaceDN w:val="0"/>
              <w:snapToGrid w:val="0"/>
              <w:jc w:val="center"/>
              <w:textAlignment w:val="baseline"/>
              <w:rPr>
                <w:rFonts w:ascii="Times New Roman" w:hAnsi="Times New Roman"/>
              </w:rPr>
            </w:pPr>
            <w:r>
              <w:rPr>
                <w:rFonts w:ascii="Times New Roman" w:hAnsi="Times New Roman"/>
              </w:rPr>
              <w:t xml:space="preserve">93.8 </w:t>
            </w:r>
          </w:p>
        </w:tc>
        <w:tc>
          <w:tcPr>
            <w:tcW w:w="721" w:type="pct"/>
            <w:noWrap/>
            <w:vAlign w:val="center"/>
          </w:tcPr>
          <w:p w14:paraId="523B1014">
            <w:pPr>
              <w:kinsoku w:val="0"/>
              <w:autoSpaceDE w:val="0"/>
              <w:autoSpaceDN w:val="0"/>
              <w:snapToGrid w:val="0"/>
              <w:jc w:val="center"/>
              <w:textAlignment w:val="baseline"/>
              <w:rPr>
                <w:rFonts w:ascii="Times New Roman" w:hAnsi="Times New Roman"/>
              </w:rPr>
            </w:pPr>
            <w:r>
              <w:rPr>
                <w:rFonts w:ascii="Times New Roman" w:hAnsi="Times New Roman"/>
              </w:rPr>
              <w:t xml:space="preserve">93.76 </w:t>
            </w:r>
          </w:p>
        </w:tc>
        <w:tc>
          <w:tcPr>
            <w:tcW w:w="667" w:type="pct"/>
            <w:vMerge w:val="restart"/>
            <w:noWrap/>
            <w:vAlign w:val="center"/>
          </w:tcPr>
          <w:p w14:paraId="3C1F50B0">
            <w:pPr>
              <w:kinsoku w:val="0"/>
              <w:autoSpaceDE w:val="0"/>
              <w:autoSpaceDN w:val="0"/>
              <w:snapToGrid w:val="0"/>
              <w:jc w:val="center"/>
              <w:textAlignment w:val="baseline"/>
              <w:rPr>
                <w:rFonts w:ascii="Times New Roman" w:hAnsi="Times New Roman"/>
              </w:rPr>
            </w:pPr>
            <w:r>
              <w:rPr>
                <w:rFonts w:ascii="Times New Roman" w:hAnsi="Times New Roman"/>
              </w:rPr>
              <w:t>93.76</w:t>
            </w:r>
          </w:p>
        </w:tc>
      </w:tr>
      <w:tr w14:paraId="1FC7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continue"/>
            <w:vAlign w:val="center"/>
          </w:tcPr>
          <w:p w14:paraId="08361D1E">
            <w:pPr>
              <w:kinsoku w:val="0"/>
              <w:autoSpaceDE w:val="0"/>
              <w:autoSpaceDN w:val="0"/>
              <w:snapToGrid w:val="0"/>
              <w:jc w:val="center"/>
              <w:textAlignment w:val="baseline"/>
              <w:rPr>
                <w:rFonts w:ascii="Times New Roman" w:hAnsi="Times New Roman"/>
              </w:rPr>
            </w:pPr>
          </w:p>
        </w:tc>
        <w:tc>
          <w:tcPr>
            <w:tcW w:w="786" w:type="pct"/>
            <w:noWrap/>
            <w:vAlign w:val="center"/>
          </w:tcPr>
          <w:p w14:paraId="37F297D5">
            <w:pPr>
              <w:kinsoku w:val="0"/>
              <w:autoSpaceDE w:val="0"/>
              <w:autoSpaceDN w:val="0"/>
              <w:snapToGrid w:val="0"/>
              <w:jc w:val="center"/>
              <w:textAlignment w:val="baseline"/>
              <w:rPr>
                <w:rFonts w:ascii="Times New Roman" w:hAnsi="Times New Roman"/>
              </w:rPr>
            </w:pPr>
            <w:r>
              <w:rPr>
                <w:rFonts w:ascii="Times New Roman" w:hAnsi="Times New Roman"/>
              </w:rPr>
              <w:t>特级一等2</w:t>
            </w:r>
          </w:p>
        </w:tc>
        <w:tc>
          <w:tcPr>
            <w:tcW w:w="721" w:type="pct"/>
            <w:noWrap/>
            <w:vAlign w:val="center"/>
          </w:tcPr>
          <w:p w14:paraId="110A6F6F">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05746D93">
            <w:pPr>
              <w:kinsoku w:val="0"/>
              <w:autoSpaceDE w:val="0"/>
              <w:autoSpaceDN w:val="0"/>
              <w:snapToGrid w:val="0"/>
              <w:jc w:val="center"/>
              <w:textAlignment w:val="baseline"/>
              <w:rPr>
                <w:rFonts w:ascii="Times New Roman" w:hAnsi="Times New Roman"/>
              </w:rPr>
            </w:pPr>
            <w:r>
              <w:rPr>
                <w:rFonts w:ascii="Times New Roman" w:hAnsi="Times New Roman"/>
              </w:rPr>
              <w:t xml:space="preserve">93.9 </w:t>
            </w:r>
          </w:p>
        </w:tc>
        <w:tc>
          <w:tcPr>
            <w:tcW w:w="721" w:type="pct"/>
            <w:noWrap/>
            <w:vAlign w:val="center"/>
          </w:tcPr>
          <w:p w14:paraId="5BA244A5">
            <w:pPr>
              <w:kinsoku w:val="0"/>
              <w:autoSpaceDE w:val="0"/>
              <w:autoSpaceDN w:val="0"/>
              <w:snapToGrid w:val="0"/>
              <w:jc w:val="center"/>
              <w:textAlignment w:val="baseline"/>
              <w:rPr>
                <w:rFonts w:ascii="Times New Roman" w:hAnsi="Times New Roman"/>
              </w:rPr>
            </w:pPr>
            <w:r>
              <w:rPr>
                <w:rFonts w:ascii="Times New Roman" w:hAnsi="Times New Roman"/>
              </w:rPr>
              <w:t xml:space="preserve">93.8 </w:t>
            </w:r>
          </w:p>
        </w:tc>
        <w:tc>
          <w:tcPr>
            <w:tcW w:w="721" w:type="pct"/>
            <w:noWrap/>
            <w:vAlign w:val="center"/>
          </w:tcPr>
          <w:p w14:paraId="0B16E760">
            <w:pPr>
              <w:kinsoku w:val="0"/>
              <w:autoSpaceDE w:val="0"/>
              <w:autoSpaceDN w:val="0"/>
              <w:snapToGrid w:val="0"/>
              <w:jc w:val="center"/>
              <w:textAlignment w:val="baseline"/>
              <w:rPr>
                <w:rFonts w:ascii="Times New Roman" w:hAnsi="Times New Roman"/>
              </w:rPr>
            </w:pPr>
            <w:r>
              <w:rPr>
                <w:rFonts w:ascii="Times New Roman" w:hAnsi="Times New Roman"/>
              </w:rPr>
              <w:t xml:space="preserve">93.77 </w:t>
            </w:r>
          </w:p>
        </w:tc>
        <w:tc>
          <w:tcPr>
            <w:tcW w:w="667" w:type="pct"/>
            <w:vMerge w:val="continue"/>
            <w:vAlign w:val="center"/>
          </w:tcPr>
          <w:p w14:paraId="76B8685A">
            <w:pPr>
              <w:kinsoku w:val="0"/>
              <w:autoSpaceDE w:val="0"/>
              <w:autoSpaceDN w:val="0"/>
              <w:snapToGrid w:val="0"/>
              <w:jc w:val="center"/>
              <w:textAlignment w:val="baseline"/>
              <w:rPr>
                <w:rFonts w:ascii="Times New Roman" w:hAnsi="Times New Roman"/>
              </w:rPr>
            </w:pPr>
          </w:p>
        </w:tc>
      </w:tr>
      <w:tr w14:paraId="6278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restart"/>
            <w:noWrap/>
            <w:vAlign w:val="center"/>
          </w:tcPr>
          <w:p w14:paraId="1238065C">
            <w:pPr>
              <w:kinsoku w:val="0"/>
              <w:autoSpaceDE w:val="0"/>
              <w:autoSpaceDN w:val="0"/>
              <w:snapToGrid w:val="0"/>
              <w:jc w:val="center"/>
              <w:textAlignment w:val="baseline"/>
              <w:rPr>
                <w:rFonts w:ascii="Times New Roman" w:hAnsi="Times New Roman"/>
              </w:rPr>
            </w:pPr>
            <w:r>
              <w:rPr>
                <w:rFonts w:ascii="Times New Roman" w:hAnsi="Times New Roman"/>
              </w:rPr>
              <w:t>3</w:t>
            </w:r>
          </w:p>
        </w:tc>
        <w:tc>
          <w:tcPr>
            <w:tcW w:w="786" w:type="pct"/>
            <w:noWrap/>
            <w:vAlign w:val="center"/>
          </w:tcPr>
          <w:p w14:paraId="3B9C31C0">
            <w:pPr>
              <w:kinsoku w:val="0"/>
              <w:autoSpaceDE w:val="0"/>
              <w:autoSpaceDN w:val="0"/>
              <w:snapToGrid w:val="0"/>
              <w:jc w:val="center"/>
              <w:textAlignment w:val="baseline"/>
              <w:rPr>
                <w:rFonts w:ascii="Times New Roman" w:hAnsi="Times New Roman"/>
              </w:rPr>
            </w:pPr>
            <w:r>
              <w:rPr>
                <w:rFonts w:ascii="Times New Roman" w:hAnsi="Times New Roman"/>
              </w:rPr>
              <w:t>特级一等1</w:t>
            </w:r>
          </w:p>
        </w:tc>
        <w:tc>
          <w:tcPr>
            <w:tcW w:w="721" w:type="pct"/>
            <w:noWrap/>
            <w:vAlign w:val="center"/>
          </w:tcPr>
          <w:p w14:paraId="3F6B412A">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46A8533E">
            <w:pPr>
              <w:kinsoku w:val="0"/>
              <w:autoSpaceDE w:val="0"/>
              <w:autoSpaceDN w:val="0"/>
              <w:snapToGrid w:val="0"/>
              <w:jc w:val="center"/>
              <w:textAlignment w:val="baseline"/>
              <w:rPr>
                <w:rFonts w:ascii="Times New Roman" w:hAnsi="Times New Roman"/>
              </w:rPr>
            </w:pPr>
            <w:r>
              <w:rPr>
                <w:rFonts w:ascii="Times New Roman" w:hAnsi="Times New Roman"/>
              </w:rPr>
              <w:t xml:space="preserve">93.7 </w:t>
            </w:r>
          </w:p>
        </w:tc>
        <w:tc>
          <w:tcPr>
            <w:tcW w:w="721" w:type="pct"/>
            <w:noWrap/>
            <w:vAlign w:val="center"/>
          </w:tcPr>
          <w:p w14:paraId="373A6A80">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025627A1">
            <w:pPr>
              <w:kinsoku w:val="0"/>
              <w:autoSpaceDE w:val="0"/>
              <w:autoSpaceDN w:val="0"/>
              <w:snapToGrid w:val="0"/>
              <w:jc w:val="center"/>
              <w:textAlignment w:val="baseline"/>
              <w:rPr>
                <w:rFonts w:ascii="Times New Roman" w:hAnsi="Times New Roman"/>
              </w:rPr>
            </w:pPr>
            <w:r>
              <w:rPr>
                <w:rFonts w:ascii="Times New Roman" w:hAnsi="Times New Roman"/>
              </w:rPr>
              <w:t xml:space="preserve">93.64 </w:t>
            </w:r>
          </w:p>
        </w:tc>
        <w:tc>
          <w:tcPr>
            <w:tcW w:w="667" w:type="pct"/>
            <w:vMerge w:val="restart"/>
            <w:noWrap/>
            <w:vAlign w:val="center"/>
          </w:tcPr>
          <w:p w14:paraId="5CB04B71">
            <w:pPr>
              <w:kinsoku w:val="0"/>
              <w:autoSpaceDE w:val="0"/>
              <w:autoSpaceDN w:val="0"/>
              <w:snapToGrid w:val="0"/>
              <w:jc w:val="center"/>
              <w:textAlignment w:val="baseline"/>
              <w:rPr>
                <w:rFonts w:ascii="Times New Roman" w:hAnsi="Times New Roman"/>
              </w:rPr>
            </w:pPr>
            <w:r>
              <w:rPr>
                <w:rFonts w:ascii="Times New Roman" w:hAnsi="Times New Roman"/>
              </w:rPr>
              <w:t>93.65</w:t>
            </w:r>
          </w:p>
        </w:tc>
      </w:tr>
      <w:tr w14:paraId="5F5F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continue"/>
            <w:vAlign w:val="center"/>
          </w:tcPr>
          <w:p w14:paraId="61308A11">
            <w:pPr>
              <w:kinsoku w:val="0"/>
              <w:autoSpaceDE w:val="0"/>
              <w:autoSpaceDN w:val="0"/>
              <w:snapToGrid w:val="0"/>
              <w:jc w:val="center"/>
              <w:textAlignment w:val="baseline"/>
              <w:rPr>
                <w:rFonts w:ascii="Times New Roman" w:hAnsi="Times New Roman"/>
              </w:rPr>
            </w:pPr>
          </w:p>
        </w:tc>
        <w:tc>
          <w:tcPr>
            <w:tcW w:w="786" w:type="pct"/>
            <w:noWrap/>
            <w:vAlign w:val="center"/>
          </w:tcPr>
          <w:p w14:paraId="54E1BF1F">
            <w:pPr>
              <w:kinsoku w:val="0"/>
              <w:autoSpaceDE w:val="0"/>
              <w:autoSpaceDN w:val="0"/>
              <w:snapToGrid w:val="0"/>
              <w:jc w:val="center"/>
              <w:textAlignment w:val="baseline"/>
              <w:rPr>
                <w:rFonts w:ascii="Times New Roman" w:hAnsi="Times New Roman"/>
              </w:rPr>
            </w:pPr>
            <w:r>
              <w:rPr>
                <w:rFonts w:ascii="Times New Roman" w:hAnsi="Times New Roman"/>
              </w:rPr>
              <w:t>特级一等2</w:t>
            </w:r>
          </w:p>
        </w:tc>
        <w:tc>
          <w:tcPr>
            <w:tcW w:w="721" w:type="pct"/>
            <w:noWrap/>
            <w:vAlign w:val="center"/>
          </w:tcPr>
          <w:p w14:paraId="3082275C">
            <w:pPr>
              <w:kinsoku w:val="0"/>
              <w:autoSpaceDE w:val="0"/>
              <w:autoSpaceDN w:val="0"/>
              <w:snapToGrid w:val="0"/>
              <w:jc w:val="center"/>
              <w:textAlignment w:val="baseline"/>
              <w:rPr>
                <w:rFonts w:ascii="Times New Roman" w:hAnsi="Times New Roman"/>
              </w:rPr>
            </w:pPr>
            <w:r>
              <w:rPr>
                <w:rFonts w:ascii="Times New Roman" w:hAnsi="Times New Roman"/>
              </w:rPr>
              <w:t xml:space="preserve">93.5 </w:t>
            </w:r>
          </w:p>
        </w:tc>
        <w:tc>
          <w:tcPr>
            <w:tcW w:w="721" w:type="pct"/>
            <w:noWrap/>
            <w:vAlign w:val="center"/>
          </w:tcPr>
          <w:p w14:paraId="33914178">
            <w:pPr>
              <w:kinsoku w:val="0"/>
              <w:autoSpaceDE w:val="0"/>
              <w:autoSpaceDN w:val="0"/>
              <w:snapToGrid w:val="0"/>
              <w:jc w:val="center"/>
              <w:textAlignment w:val="baseline"/>
              <w:rPr>
                <w:rFonts w:ascii="Times New Roman" w:hAnsi="Times New Roman"/>
              </w:rPr>
            </w:pPr>
            <w:r>
              <w:rPr>
                <w:rFonts w:ascii="Times New Roman" w:hAnsi="Times New Roman"/>
              </w:rPr>
              <w:t xml:space="preserve">93.8 </w:t>
            </w:r>
          </w:p>
        </w:tc>
        <w:tc>
          <w:tcPr>
            <w:tcW w:w="721" w:type="pct"/>
            <w:noWrap/>
            <w:vAlign w:val="center"/>
          </w:tcPr>
          <w:p w14:paraId="087F0C54">
            <w:pPr>
              <w:kinsoku w:val="0"/>
              <w:autoSpaceDE w:val="0"/>
              <w:autoSpaceDN w:val="0"/>
              <w:snapToGrid w:val="0"/>
              <w:jc w:val="center"/>
              <w:textAlignment w:val="baseline"/>
              <w:rPr>
                <w:rFonts w:ascii="Times New Roman" w:hAnsi="Times New Roman"/>
              </w:rPr>
            </w:pPr>
            <w:r>
              <w:rPr>
                <w:rFonts w:ascii="Times New Roman" w:hAnsi="Times New Roman"/>
              </w:rPr>
              <w:t xml:space="preserve">93.7 </w:t>
            </w:r>
          </w:p>
        </w:tc>
        <w:tc>
          <w:tcPr>
            <w:tcW w:w="721" w:type="pct"/>
            <w:noWrap/>
            <w:vAlign w:val="center"/>
          </w:tcPr>
          <w:p w14:paraId="3763A813">
            <w:pPr>
              <w:kinsoku w:val="0"/>
              <w:autoSpaceDE w:val="0"/>
              <w:autoSpaceDN w:val="0"/>
              <w:snapToGrid w:val="0"/>
              <w:jc w:val="center"/>
              <w:textAlignment w:val="baseline"/>
              <w:rPr>
                <w:rFonts w:ascii="Times New Roman" w:hAnsi="Times New Roman"/>
              </w:rPr>
            </w:pPr>
            <w:r>
              <w:rPr>
                <w:rFonts w:ascii="Times New Roman" w:hAnsi="Times New Roman"/>
              </w:rPr>
              <w:t xml:space="preserve">93.66 </w:t>
            </w:r>
          </w:p>
        </w:tc>
        <w:tc>
          <w:tcPr>
            <w:tcW w:w="667" w:type="pct"/>
            <w:vMerge w:val="continue"/>
            <w:vAlign w:val="center"/>
          </w:tcPr>
          <w:p w14:paraId="7D9F6FDB">
            <w:pPr>
              <w:kinsoku w:val="0"/>
              <w:autoSpaceDE w:val="0"/>
              <w:autoSpaceDN w:val="0"/>
              <w:snapToGrid w:val="0"/>
              <w:jc w:val="center"/>
              <w:textAlignment w:val="baseline"/>
              <w:rPr>
                <w:rFonts w:ascii="Times New Roman" w:hAnsi="Times New Roman"/>
              </w:rPr>
            </w:pPr>
          </w:p>
        </w:tc>
      </w:tr>
      <w:tr w14:paraId="184F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restart"/>
            <w:noWrap/>
            <w:vAlign w:val="center"/>
          </w:tcPr>
          <w:p w14:paraId="7CAE84C3">
            <w:pPr>
              <w:kinsoku w:val="0"/>
              <w:autoSpaceDE w:val="0"/>
              <w:autoSpaceDN w:val="0"/>
              <w:snapToGrid w:val="0"/>
              <w:jc w:val="center"/>
              <w:textAlignment w:val="baseline"/>
              <w:rPr>
                <w:rFonts w:ascii="Times New Roman" w:hAnsi="Times New Roman"/>
              </w:rPr>
            </w:pPr>
            <w:r>
              <w:rPr>
                <w:rFonts w:ascii="Times New Roman" w:hAnsi="Times New Roman"/>
              </w:rPr>
              <w:t>6</w:t>
            </w:r>
          </w:p>
        </w:tc>
        <w:tc>
          <w:tcPr>
            <w:tcW w:w="786" w:type="pct"/>
            <w:noWrap/>
            <w:vAlign w:val="center"/>
          </w:tcPr>
          <w:p w14:paraId="2AA5F771">
            <w:pPr>
              <w:kinsoku w:val="0"/>
              <w:autoSpaceDE w:val="0"/>
              <w:autoSpaceDN w:val="0"/>
              <w:snapToGrid w:val="0"/>
              <w:jc w:val="center"/>
              <w:textAlignment w:val="baseline"/>
              <w:rPr>
                <w:rFonts w:ascii="Times New Roman" w:hAnsi="Times New Roman"/>
              </w:rPr>
            </w:pPr>
            <w:r>
              <w:rPr>
                <w:rFonts w:ascii="Times New Roman" w:hAnsi="Times New Roman"/>
              </w:rPr>
              <w:t>特级一等1</w:t>
            </w:r>
          </w:p>
        </w:tc>
        <w:tc>
          <w:tcPr>
            <w:tcW w:w="721" w:type="pct"/>
            <w:noWrap/>
            <w:vAlign w:val="center"/>
          </w:tcPr>
          <w:p w14:paraId="604FC572">
            <w:pPr>
              <w:kinsoku w:val="0"/>
              <w:autoSpaceDE w:val="0"/>
              <w:autoSpaceDN w:val="0"/>
              <w:snapToGrid w:val="0"/>
              <w:jc w:val="center"/>
              <w:textAlignment w:val="baseline"/>
              <w:rPr>
                <w:rFonts w:ascii="Times New Roman" w:hAnsi="Times New Roman"/>
              </w:rPr>
            </w:pPr>
            <w:r>
              <w:rPr>
                <w:rFonts w:ascii="Times New Roman" w:hAnsi="Times New Roman"/>
              </w:rPr>
              <w:t xml:space="preserve">93.5 </w:t>
            </w:r>
          </w:p>
        </w:tc>
        <w:tc>
          <w:tcPr>
            <w:tcW w:w="721" w:type="pct"/>
            <w:noWrap/>
            <w:vAlign w:val="center"/>
          </w:tcPr>
          <w:p w14:paraId="4782029D">
            <w:pPr>
              <w:kinsoku w:val="0"/>
              <w:autoSpaceDE w:val="0"/>
              <w:autoSpaceDN w:val="0"/>
              <w:snapToGrid w:val="0"/>
              <w:jc w:val="center"/>
              <w:textAlignment w:val="baseline"/>
              <w:rPr>
                <w:rFonts w:ascii="Times New Roman" w:hAnsi="Times New Roman"/>
              </w:rPr>
            </w:pPr>
            <w:r>
              <w:rPr>
                <w:rFonts w:ascii="Times New Roman" w:hAnsi="Times New Roman"/>
              </w:rPr>
              <w:t xml:space="preserve">93.7 </w:t>
            </w:r>
          </w:p>
        </w:tc>
        <w:tc>
          <w:tcPr>
            <w:tcW w:w="721" w:type="pct"/>
            <w:noWrap/>
            <w:vAlign w:val="center"/>
          </w:tcPr>
          <w:p w14:paraId="1F8051C8">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1BD5DC1E">
            <w:pPr>
              <w:kinsoku w:val="0"/>
              <w:autoSpaceDE w:val="0"/>
              <w:autoSpaceDN w:val="0"/>
              <w:snapToGrid w:val="0"/>
              <w:jc w:val="center"/>
              <w:textAlignment w:val="baseline"/>
              <w:rPr>
                <w:rFonts w:ascii="Times New Roman" w:hAnsi="Times New Roman"/>
              </w:rPr>
            </w:pPr>
            <w:r>
              <w:rPr>
                <w:rFonts w:ascii="Times New Roman" w:hAnsi="Times New Roman"/>
              </w:rPr>
              <w:t xml:space="preserve">93.61 </w:t>
            </w:r>
          </w:p>
        </w:tc>
        <w:tc>
          <w:tcPr>
            <w:tcW w:w="667" w:type="pct"/>
            <w:vMerge w:val="restart"/>
            <w:noWrap/>
            <w:vAlign w:val="center"/>
          </w:tcPr>
          <w:p w14:paraId="028060CE">
            <w:pPr>
              <w:kinsoku w:val="0"/>
              <w:autoSpaceDE w:val="0"/>
              <w:autoSpaceDN w:val="0"/>
              <w:snapToGrid w:val="0"/>
              <w:jc w:val="center"/>
              <w:textAlignment w:val="baseline"/>
              <w:rPr>
                <w:rFonts w:ascii="Times New Roman" w:hAnsi="Times New Roman"/>
              </w:rPr>
            </w:pPr>
            <w:r>
              <w:rPr>
                <w:rFonts w:ascii="Times New Roman" w:hAnsi="Times New Roman"/>
              </w:rPr>
              <w:t>93.59</w:t>
            </w:r>
          </w:p>
        </w:tc>
      </w:tr>
      <w:tr w14:paraId="4B2C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continue"/>
            <w:vAlign w:val="center"/>
          </w:tcPr>
          <w:p w14:paraId="59AA99BB">
            <w:pPr>
              <w:kinsoku w:val="0"/>
              <w:autoSpaceDE w:val="0"/>
              <w:autoSpaceDN w:val="0"/>
              <w:snapToGrid w:val="0"/>
              <w:jc w:val="center"/>
              <w:textAlignment w:val="baseline"/>
              <w:rPr>
                <w:rFonts w:ascii="Times New Roman" w:hAnsi="Times New Roman"/>
              </w:rPr>
            </w:pPr>
          </w:p>
        </w:tc>
        <w:tc>
          <w:tcPr>
            <w:tcW w:w="786" w:type="pct"/>
            <w:noWrap/>
            <w:vAlign w:val="center"/>
          </w:tcPr>
          <w:p w14:paraId="1FD2357A">
            <w:pPr>
              <w:kinsoku w:val="0"/>
              <w:autoSpaceDE w:val="0"/>
              <w:autoSpaceDN w:val="0"/>
              <w:snapToGrid w:val="0"/>
              <w:jc w:val="center"/>
              <w:textAlignment w:val="baseline"/>
              <w:rPr>
                <w:rFonts w:ascii="Times New Roman" w:hAnsi="Times New Roman"/>
              </w:rPr>
            </w:pPr>
            <w:r>
              <w:rPr>
                <w:rFonts w:ascii="Times New Roman" w:hAnsi="Times New Roman"/>
              </w:rPr>
              <w:t>特级一等2</w:t>
            </w:r>
          </w:p>
        </w:tc>
        <w:tc>
          <w:tcPr>
            <w:tcW w:w="721" w:type="pct"/>
            <w:noWrap/>
            <w:vAlign w:val="center"/>
          </w:tcPr>
          <w:p w14:paraId="6FBBBA43">
            <w:pPr>
              <w:kinsoku w:val="0"/>
              <w:autoSpaceDE w:val="0"/>
              <w:autoSpaceDN w:val="0"/>
              <w:snapToGrid w:val="0"/>
              <w:jc w:val="center"/>
              <w:textAlignment w:val="baseline"/>
              <w:rPr>
                <w:rFonts w:ascii="Times New Roman" w:hAnsi="Times New Roman"/>
              </w:rPr>
            </w:pPr>
            <w:r>
              <w:rPr>
                <w:rFonts w:ascii="Times New Roman" w:hAnsi="Times New Roman"/>
              </w:rPr>
              <w:t xml:space="preserve">93.4 </w:t>
            </w:r>
          </w:p>
        </w:tc>
        <w:tc>
          <w:tcPr>
            <w:tcW w:w="721" w:type="pct"/>
            <w:noWrap/>
            <w:vAlign w:val="center"/>
          </w:tcPr>
          <w:p w14:paraId="1AA2C024">
            <w:pPr>
              <w:kinsoku w:val="0"/>
              <w:autoSpaceDE w:val="0"/>
              <w:autoSpaceDN w:val="0"/>
              <w:snapToGrid w:val="0"/>
              <w:jc w:val="center"/>
              <w:textAlignment w:val="baseline"/>
              <w:rPr>
                <w:rFonts w:ascii="Times New Roman" w:hAnsi="Times New Roman"/>
              </w:rPr>
            </w:pPr>
            <w:r>
              <w:rPr>
                <w:rFonts w:ascii="Times New Roman" w:hAnsi="Times New Roman"/>
              </w:rPr>
              <w:t xml:space="preserve">93.7 </w:t>
            </w:r>
          </w:p>
        </w:tc>
        <w:tc>
          <w:tcPr>
            <w:tcW w:w="721" w:type="pct"/>
            <w:noWrap/>
            <w:vAlign w:val="center"/>
          </w:tcPr>
          <w:p w14:paraId="184287AA">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7B80B69F">
            <w:pPr>
              <w:kinsoku w:val="0"/>
              <w:autoSpaceDE w:val="0"/>
              <w:autoSpaceDN w:val="0"/>
              <w:snapToGrid w:val="0"/>
              <w:jc w:val="center"/>
              <w:textAlignment w:val="baseline"/>
              <w:rPr>
                <w:rFonts w:ascii="Times New Roman" w:hAnsi="Times New Roman"/>
              </w:rPr>
            </w:pPr>
            <w:r>
              <w:rPr>
                <w:rFonts w:ascii="Times New Roman" w:hAnsi="Times New Roman"/>
              </w:rPr>
              <w:t xml:space="preserve">93.57 </w:t>
            </w:r>
          </w:p>
        </w:tc>
        <w:tc>
          <w:tcPr>
            <w:tcW w:w="667" w:type="pct"/>
            <w:vMerge w:val="continue"/>
            <w:vAlign w:val="center"/>
          </w:tcPr>
          <w:p w14:paraId="7403923A">
            <w:pPr>
              <w:kinsoku w:val="0"/>
              <w:autoSpaceDE w:val="0"/>
              <w:autoSpaceDN w:val="0"/>
              <w:snapToGrid w:val="0"/>
              <w:jc w:val="center"/>
              <w:textAlignment w:val="baseline"/>
              <w:rPr>
                <w:rFonts w:ascii="Times New Roman" w:hAnsi="Times New Roman"/>
              </w:rPr>
            </w:pPr>
          </w:p>
        </w:tc>
      </w:tr>
      <w:tr w14:paraId="39A5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restart"/>
            <w:noWrap/>
            <w:vAlign w:val="center"/>
          </w:tcPr>
          <w:p w14:paraId="4CEDEE9E">
            <w:pPr>
              <w:kinsoku w:val="0"/>
              <w:autoSpaceDE w:val="0"/>
              <w:autoSpaceDN w:val="0"/>
              <w:snapToGrid w:val="0"/>
              <w:jc w:val="center"/>
              <w:textAlignment w:val="baseline"/>
              <w:rPr>
                <w:rFonts w:ascii="Times New Roman" w:hAnsi="Times New Roman"/>
              </w:rPr>
            </w:pPr>
            <w:r>
              <w:rPr>
                <w:rFonts w:ascii="Times New Roman" w:hAnsi="Times New Roman"/>
              </w:rPr>
              <w:t>10</w:t>
            </w:r>
          </w:p>
        </w:tc>
        <w:tc>
          <w:tcPr>
            <w:tcW w:w="786" w:type="pct"/>
            <w:noWrap/>
            <w:vAlign w:val="center"/>
          </w:tcPr>
          <w:p w14:paraId="77BBD4F5">
            <w:pPr>
              <w:kinsoku w:val="0"/>
              <w:autoSpaceDE w:val="0"/>
              <w:autoSpaceDN w:val="0"/>
              <w:snapToGrid w:val="0"/>
              <w:jc w:val="center"/>
              <w:textAlignment w:val="baseline"/>
              <w:rPr>
                <w:rFonts w:ascii="Times New Roman" w:hAnsi="Times New Roman"/>
              </w:rPr>
            </w:pPr>
            <w:r>
              <w:rPr>
                <w:rFonts w:ascii="Times New Roman" w:hAnsi="Times New Roman"/>
              </w:rPr>
              <w:t>特级一等1</w:t>
            </w:r>
          </w:p>
        </w:tc>
        <w:tc>
          <w:tcPr>
            <w:tcW w:w="721" w:type="pct"/>
            <w:noWrap/>
            <w:vAlign w:val="center"/>
          </w:tcPr>
          <w:p w14:paraId="1D498B3F">
            <w:pPr>
              <w:kinsoku w:val="0"/>
              <w:autoSpaceDE w:val="0"/>
              <w:autoSpaceDN w:val="0"/>
              <w:snapToGrid w:val="0"/>
              <w:jc w:val="center"/>
              <w:textAlignment w:val="baseline"/>
              <w:rPr>
                <w:rFonts w:ascii="Times New Roman" w:hAnsi="Times New Roman"/>
              </w:rPr>
            </w:pPr>
            <w:r>
              <w:rPr>
                <w:rFonts w:ascii="Times New Roman" w:hAnsi="Times New Roman"/>
              </w:rPr>
              <w:t xml:space="preserve">93.5 </w:t>
            </w:r>
          </w:p>
        </w:tc>
        <w:tc>
          <w:tcPr>
            <w:tcW w:w="721" w:type="pct"/>
            <w:noWrap/>
            <w:vAlign w:val="center"/>
          </w:tcPr>
          <w:p w14:paraId="75404D58">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1262C90D">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1BC07976">
            <w:pPr>
              <w:kinsoku w:val="0"/>
              <w:autoSpaceDE w:val="0"/>
              <w:autoSpaceDN w:val="0"/>
              <w:snapToGrid w:val="0"/>
              <w:jc w:val="center"/>
              <w:textAlignment w:val="baseline"/>
              <w:rPr>
                <w:rFonts w:ascii="Times New Roman" w:hAnsi="Times New Roman"/>
              </w:rPr>
            </w:pPr>
            <w:r>
              <w:rPr>
                <w:rFonts w:ascii="Times New Roman" w:hAnsi="Times New Roman"/>
              </w:rPr>
              <w:t xml:space="preserve">93.57 </w:t>
            </w:r>
          </w:p>
        </w:tc>
        <w:tc>
          <w:tcPr>
            <w:tcW w:w="667" w:type="pct"/>
            <w:vMerge w:val="restart"/>
            <w:noWrap/>
            <w:vAlign w:val="center"/>
          </w:tcPr>
          <w:p w14:paraId="2A4CCC48">
            <w:pPr>
              <w:kinsoku w:val="0"/>
              <w:autoSpaceDE w:val="0"/>
              <w:autoSpaceDN w:val="0"/>
              <w:snapToGrid w:val="0"/>
              <w:jc w:val="center"/>
              <w:textAlignment w:val="baseline"/>
              <w:rPr>
                <w:rFonts w:ascii="Times New Roman" w:hAnsi="Times New Roman"/>
              </w:rPr>
            </w:pPr>
            <w:r>
              <w:rPr>
                <w:rFonts w:ascii="Times New Roman" w:hAnsi="Times New Roman"/>
              </w:rPr>
              <w:t>93.57</w:t>
            </w:r>
          </w:p>
        </w:tc>
      </w:tr>
      <w:tr w14:paraId="6483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continue"/>
            <w:vAlign w:val="center"/>
          </w:tcPr>
          <w:p w14:paraId="5B74FA8E">
            <w:pPr>
              <w:kinsoku w:val="0"/>
              <w:autoSpaceDE w:val="0"/>
              <w:autoSpaceDN w:val="0"/>
              <w:snapToGrid w:val="0"/>
              <w:jc w:val="center"/>
              <w:textAlignment w:val="baseline"/>
              <w:rPr>
                <w:rFonts w:ascii="Times New Roman" w:hAnsi="Times New Roman"/>
              </w:rPr>
            </w:pPr>
          </w:p>
        </w:tc>
        <w:tc>
          <w:tcPr>
            <w:tcW w:w="786" w:type="pct"/>
            <w:noWrap/>
            <w:vAlign w:val="center"/>
          </w:tcPr>
          <w:p w14:paraId="658D3430">
            <w:pPr>
              <w:kinsoku w:val="0"/>
              <w:autoSpaceDE w:val="0"/>
              <w:autoSpaceDN w:val="0"/>
              <w:snapToGrid w:val="0"/>
              <w:jc w:val="center"/>
              <w:textAlignment w:val="baseline"/>
              <w:rPr>
                <w:rFonts w:ascii="Times New Roman" w:hAnsi="Times New Roman"/>
              </w:rPr>
            </w:pPr>
            <w:r>
              <w:rPr>
                <w:rFonts w:ascii="Times New Roman" w:hAnsi="Times New Roman"/>
              </w:rPr>
              <w:t>特级一等2</w:t>
            </w:r>
          </w:p>
        </w:tc>
        <w:tc>
          <w:tcPr>
            <w:tcW w:w="721" w:type="pct"/>
            <w:noWrap/>
            <w:vAlign w:val="center"/>
          </w:tcPr>
          <w:p w14:paraId="58D097A2">
            <w:pPr>
              <w:kinsoku w:val="0"/>
              <w:autoSpaceDE w:val="0"/>
              <w:autoSpaceDN w:val="0"/>
              <w:snapToGrid w:val="0"/>
              <w:jc w:val="center"/>
              <w:textAlignment w:val="baseline"/>
              <w:rPr>
                <w:rFonts w:ascii="Times New Roman" w:hAnsi="Times New Roman"/>
              </w:rPr>
            </w:pPr>
            <w:r>
              <w:rPr>
                <w:rFonts w:ascii="Times New Roman" w:hAnsi="Times New Roman"/>
              </w:rPr>
              <w:t xml:space="preserve">93.4 </w:t>
            </w:r>
          </w:p>
        </w:tc>
        <w:tc>
          <w:tcPr>
            <w:tcW w:w="721" w:type="pct"/>
            <w:noWrap/>
            <w:vAlign w:val="center"/>
          </w:tcPr>
          <w:p w14:paraId="71071CB6">
            <w:pPr>
              <w:kinsoku w:val="0"/>
              <w:autoSpaceDE w:val="0"/>
              <w:autoSpaceDN w:val="0"/>
              <w:snapToGrid w:val="0"/>
              <w:jc w:val="center"/>
              <w:textAlignment w:val="baseline"/>
              <w:rPr>
                <w:rFonts w:ascii="Times New Roman" w:hAnsi="Times New Roman"/>
              </w:rPr>
            </w:pPr>
            <w:r>
              <w:rPr>
                <w:rFonts w:ascii="Times New Roman" w:hAnsi="Times New Roman"/>
              </w:rPr>
              <w:t xml:space="preserve">93.7 </w:t>
            </w:r>
          </w:p>
        </w:tc>
        <w:tc>
          <w:tcPr>
            <w:tcW w:w="721" w:type="pct"/>
            <w:noWrap/>
            <w:vAlign w:val="center"/>
          </w:tcPr>
          <w:p w14:paraId="7BB7D689">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35B23A7E">
            <w:pPr>
              <w:kinsoku w:val="0"/>
              <w:autoSpaceDE w:val="0"/>
              <w:autoSpaceDN w:val="0"/>
              <w:snapToGrid w:val="0"/>
              <w:jc w:val="center"/>
              <w:textAlignment w:val="baseline"/>
              <w:rPr>
                <w:rFonts w:ascii="Times New Roman" w:hAnsi="Times New Roman"/>
              </w:rPr>
            </w:pPr>
            <w:r>
              <w:rPr>
                <w:rFonts w:ascii="Times New Roman" w:hAnsi="Times New Roman"/>
              </w:rPr>
              <w:t xml:space="preserve">93.57 </w:t>
            </w:r>
          </w:p>
        </w:tc>
        <w:tc>
          <w:tcPr>
            <w:tcW w:w="667" w:type="pct"/>
            <w:vMerge w:val="continue"/>
            <w:vAlign w:val="center"/>
          </w:tcPr>
          <w:p w14:paraId="4CB7078F">
            <w:pPr>
              <w:kinsoku w:val="0"/>
              <w:autoSpaceDE w:val="0"/>
              <w:autoSpaceDN w:val="0"/>
              <w:snapToGrid w:val="0"/>
              <w:jc w:val="center"/>
              <w:textAlignment w:val="baseline"/>
              <w:rPr>
                <w:rFonts w:ascii="Times New Roman" w:hAnsi="Times New Roman"/>
              </w:rPr>
            </w:pPr>
          </w:p>
        </w:tc>
      </w:tr>
      <w:tr w14:paraId="43E4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restart"/>
            <w:noWrap/>
            <w:vAlign w:val="center"/>
          </w:tcPr>
          <w:p w14:paraId="199F9D86">
            <w:pPr>
              <w:kinsoku w:val="0"/>
              <w:autoSpaceDE w:val="0"/>
              <w:autoSpaceDN w:val="0"/>
              <w:snapToGrid w:val="0"/>
              <w:jc w:val="center"/>
              <w:textAlignment w:val="baseline"/>
              <w:rPr>
                <w:rFonts w:ascii="Times New Roman" w:hAnsi="Times New Roman"/>
              </w:rPr>
            </w:pPr>
            <w:r>
              <w:rPr>
                <w:rFonts w:ascii="Times New Roman" w:hAnsi="Times New Roman"/>
              </w:rPr>
              <w:t>14</w:t>
            </w:r>
          </w:p>
        </w:tc>
        <w:tc>
          <w:tcPr>
            <w:tcW w:w="786" w:type="pct"/>
            <w:noWrap/>
            <w:vAlign w:val="center"/>
          </w:tcPr>
          <w:p w14:paraId="453F9F74">
            <w:pPr>
              <w:kinsoku w:val="0"/>
              <w:autoSpaceDE w:val="0"/>
              <w:autoSpaceDN w:val="0"/>
              <w:snapToGrid w:val="0"/>
              <w:jc w:val="center"/>
              <w:textAlignment w:val="baseline"/>
              <w:rPr>
                <w:rFonts w:ascii="Times New Roman" w:hAnsi="Times New Roman"/>
              </w:rPr>
            </w:pPr>
            <w:r>
              <w:rPr>
                <w:rFonts w:ascii="Times New Roman" w:hAnsi="Times New Roman"/>
              </w:rPr>
              <w:t>特级一等1</w:t>
            </w:r>
          </w:p>
        </w:tc>
        <w:tc>
          <w:tcPr>
            <w:tcW w:w="721" w:type="pct"/>
            <w:noWrap/>
            <w:vAlign w:val="center"/>
          </w:tcPr>
          <w:p w14:paraId="4BF404EA">
            <w:pPr>
              <w:kinsoku w:val="0"/>
              <w:autoSpaceDE w:val="0"/>
              <w:autoSpaceDN w:val="0"/>
              <w:snapToGrid w:val="0"/>
              <w:jc w:val="center"/>
              <w:textAlignment w:val="baseline"/>
              <w:rPr>
                <w:rFonts w:ascii="Times New Roman" w:hAnsi="Times New Roman"/>
              </w:rPr>
            </w:pPr>
            <w:r>
              <w:rPr>
                <w:rFonts w:ascii="Times New Roman" w:hAnsi="Times New Roman"/>
              </w:rPr>
              <w:t xml:space="preserve">93.4 </w:t>
            </w:r>
          </w:p>
        </w:tc>
        <w:tc>
          <w:tcPr>
            <w:tcW w:w="721" w:type="pct"/>
            <w:noWrap/>
            <w:vAlign w:val="center"/>
          </w:tcPr>
          <w:p w14:paraId="25FE41D6">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168A5FF2">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1F5D63B4">
            <w:pPr>
              <w:kinsoku w:val="0"/>
              <w:autoSpaceDE w:val="0"/>
              <w:autoSpaceDN w:val="0"/>
              <w:snapToGrid w:val="0"/>
              <w:jc w:val="center"/>
              <w:textAlignment w:val="baseline"/>
              <w:rPr>
                <w:rFonts w:ascii="Times New Roman" w:hAnsi="Times New Roman"/>
              </w:rPr>
            </w:pPr>
            <w:r>
              <w:rPr>
                <w:rFonts w:ascii="Times New Roman" w:hAnsi="Times New Roman"/>
              </w:rPr>
              <w:t xml:space="preserve">93.54 </w:t>
            </w:r>
          </w:p>
        </w:tc>
        <w:tc>
          <w:tcPr>
            <w:tcW w:w="667" w:type="pct"/>
            <w:vMerge w:val="restart"/>
            <w:noWrap/>
            <w:vAlign w:val="center"/>
          </w:tcPr>
          <w:p w14:paraId="6DAC44F7">
            <w:pPr>
              <w:kinsoku w:val="0"/>
              <w:autoSpaceDE w:val="0"/>
              <w:autoSpaceDN w:val="0"/>
              <w:snapToGrid w:val="0"/>
              <w:jc w:val="center"/>
              <w:textAlignment w:val="baseline"/>
              <w:rPr>
                <w:rFonts w:ascii="Times New Roman" w:hAnsi="Times New Roman"/>
              </w:rPr>
            </w:pPr>
            <w:r>
              <w:rPr>
                <w:rFonts w:ascii="Times New Roman" w:hAnsi="Times New Roman"/>
              </w:rPr>
              <w:t>93.57</w:t>
            </w:r>
          </w:p>
        </w:tc>
      </w:tr>
      <w:tr w14:paraId="7972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continue"/>
            <w:vAlign w:val="center"/>
          </w:tcPr>
          <w:p w14:paraId="2CF10889">
            <w:pPr>
              <w:kinsoku w:val="0"/>
              <w:autoSpaceDE w:val="0"/>
              <w:autoSpaceDN w:val="0"/>
              <w:snapToGrid w:val="0"/>
              <w:jc w:val="center"/>
              <w:textAlignment w:val="baseline"/>
              <w:rPr>
                <w:rFonts w:ascii="Times New Roman" w:hAnsi="Times New Roman"/>
              </w:rPr>
            </w:pPr>
          </w:p>
        </w:tc>
        <w:tc>
          <w:tcPr>
            <w:tcW w:w="786" w:type="pct"/>
            <w:noWrap/>
            <w:vAlign w:val="center"/>
          </w:tcPr>
          <w:p w14:paraId="72CE58FF">
            <w:pPr>
              <w:kinsoku w:val="0"/>
              <w:autoSpaceDE w:val="0"/>
              <w:autoSpaceDN w:val="0"/>
              <w:snapToGrid w:val="0"/>
              <w:jc w:val="center"/>
              <w:textAlignment w:val="baseline"/>
              <w:rPr>
                <w:rFonts w:ascii="Times New Roman" w:hAnsi="Times New Roman"/>
              </w:rPr>
            </w:pPr>
            <w:r>
              <w:rPr>
                <w:rFonts w:ascii="Times New Roman" w:hAnsi="Times New Roman"/>
              </w:rPr>
              <w:t>特级一等2</w:t>
            </w:r>
          </w:p>
        </w:tc>
        <w:tc>
          <w:tcPr>
            <w:tcW w:w="721" w:type="pct"/>
            <w:noWrap/>
            <w:vAlign w:val="center"/>
          </w:tcPr>
          <w:p w14:paraId="32336310">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6CCB6511">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46EF208D">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3ED92A13">
            <w:pPr>
              <w:kinsoku w:val="0"/>
              <w:autoSpaceDE w:val="0"/>
              <w:autoSpaceDN w:val="0"/>
              <w:snapToGrid w:val="0"/>
              <w:jc w:val="center"/>
              <w:textAlignment w:val="baseline"/>
              <w:rPr>
                <w:rFonts w:ascii="Times New Roman" w:hAnsi="Times New Roman"/>
              </w:rPr>
            </w:pPr>
            <w:r>
              <w:rPr>
                <w:rFonts w:ascii="Times New Roman" w:hAnsi="Times New Roman"/>
              </w:rPr>
              <w:t xml:space="preserve">93.61 </w:t>
            </w:r>
          </w:p>
        </w:tc>
        <w:tc>
          <w:tcPr>
            <w:tcW w:w="667" w:type="pct"/>
            <w:vMerge w:val="continue"/>
            <w:vAlign w:val="center"/>
          </w:tcPr>
          <w:p w14:paraId="775245A4">
            <w:pPr>
              <w:kinsoku w:val="0"/>
              <w:autoSpaceDE w:val="0"/>
              <w:autoSpaceDN w:val="0"/>
              <w:snapToGrid w:val="0"/>
              <w:jc w:val="center"/>
              <w:textAlignment w:val="baseline"/>
              <w:rPr>
                <w:rFonts w:ascii="Times New Roman" w:hAnsi="Times New Roman"/>
              </w:rPr>
            </w:pPr>
          </w:p>
        </w:tc>
      </w:tr>
      <w:tr w14:paraId="7890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restart"/>
            <w:noWrap/>
            <w:vAlign w:val="center"/>
          </w:tcPr>
          <w:p w14:paraId="122D4001">
            <w:pPr>
              <w:kinsoku w:val="0"/>
              <w:autoSpaceDE w:val="0"/>
              <w:autoSpaceDN w:val="0"/>
              <w:snapToGrid w:val="0"/>
              <w:jc w:val="center"/>
              <w:textAlignment w:val="baseline"/>
              <w:rPr>
                <w:rFonts w:ascii="Times New Roman" w:hAnsi="Times New Roman"/>
              </w:rPr>
            </w:pPr>
            <w:r>
              <w:rPr>
                <w:rFonts w:ascii="Times New Roman" w:hAnsi="Times New Roman"/>
              </w:rPr>
              <w:t>18</w:t>
            </w:r>
          </w:p>
        </w:tc>
        <w:tc>
          <w:tcPr>
            <w:tcW w:w="786" w:type="pct"/>
            <w:noWrap/>
            <w:vAlign w:val="center"/>
          </w:tcPr>
          <w:p w14:paraId="4E767FD4">
            <w:pPr>
              <w:kinsoku w:val="0"/>
              <w:autoSpaceDE w:val="0"/>
              <w:autoSpaceDN w:val="0"/>
              <w:snapToGrid w:val="0"/>
              <w:jc w:val="center"/>
              <w:textAlignment w:val="baseline"/>
              <w:rPr>
                <w:rFonts w:ascii="Times New Roman" w:hAnsi="Times New Roman"/>
              </w:rPr>
            </w:pPr>
            <w:r>
              <w:rPr>
                <w:rFonts w:ascii="Times New Roman" w:hAnsi="Times New Roman"/>
              </w:rPr>
              <w:t>特级一等1</w:t>
            </w:r>
          </w:p>
        </w:tc>
        <w:tc>
          <w:tcPr>
            <w:tcW w:w="721" w:type="pct"/>
            <w:noWrap/>
            <w:vAlign w:val="center"/>
          </w:tcPr>
          <w:p w14:paraId="7021989A">
            <w:pPr>
              <w:kinsoku w:val="0"/>
              <w:autoSpaceDE w:val="0"/>
              <w:autoSpaceDN w:val="0"/>
              <w:snapToGrid w:val="0"/>
              <w:jc w:val="center"/>
              <w:textAlignment w:val="baseline"/>
              <w:rPr>
                <w:rFonts w:ascii="Times New Roman" w:hAnsi="Times New Roman"/>
              </w:rPr>
            </w:pPr>
            <w:r>
              <w:rPr>
                <w:rFonts w:ascii="Times New Roman" w:hAnsi="Times New Roman"/>
              </w:rPr>
              <w:t xml:space="preserve">93.4 </w:t>
            </w:r>
          </w:p>
        </w:tc>
        <w:tc>
          <w:tcPr>
            <w:tcW w:w="721" w:type="pct"/>
            <w:noWrap/>
            <w:vAlign w:val="center"/>
          </w:tcPr>
          <w:p w14:paraId="41B9FEA8">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1D534102">
            <w:pPr>
              <w:kinsoku w:val="0"/>
              <w:autoSpaceDE w:val="0"/>
              <w:autoSpaceDN w:val="0"/>
              <w:snapToGrid w:val="0"/>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7A560895">
            <w:pPr>
              <w:kinsoku w:val="0"/>
              <w:autoSpaceDE w:val="0"/>
              <w:autoSpaceDN w:val="0"/>
              <w:snapToGrid w:val="0"/>
              <w:jc w:val="center"/>
              <w:textAlignment w:val="baseline"/>
              <w:rPr>
                <w:rFonts w:ascii="Times New Roman" w:hAnsi="Times New Roman"/>
              </w:rPr>
            </w:pPr>
            <w:r>
              <w:rPr>
                <w:rFonts w:ascii="Times New Roman" w:hAnsi="Times New Roman"/>
              </w:rPr>
              <w:t xml:space="preserve">93.53 </w:t>
            </w:r>
          </w:p>
        </w:tc>
        <w:tc>
          <w:tcPr>
            <w:tcW w:w="667" w:type="pct"/>
            <w:vMerge w:val="restart"/>
            <w:noWrap/>
            <w:vAlign w:val="center"/>
          </w:tcPr>
          <w:p w14:paraId="027F9A54">
            <w:pPr>
              <w:kinsoku w:val="0"/>
              <w:autoSpaceDE w:val="0"/>
              <w:autoSpaceDN w:val="0"/>
              <w:snapToGrid w:val="0"/>
              <w:jc w:val="center"/>
              <w:textAlignment w:val="baseline"/>
              <w:rPr>
                <w:rFonts w:ascii="Times New Roman" w:hAnsi="Times New Roman"/>
              </w:rPr>
            </w:pPr>
            <w:r>
              <w:rPr>
                <w:rFonts w:ascii="Times New Roman" w:hAnsi="Times New Roman"/>
              </w:rPr>
              <w:t>93.55</w:t>
            </w:r>
          </w:p>
        </w:tc>
      </w:tr>
      <w:tr w14:paraId="5076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58" w:type="pct"/>
            <w:vMerge w:val="continue"/>
            <w:vAlign w:val="center"/>
          </w:tcPr>
          <w:p w14:paraId="09D27B6E">
            <w:pPr>
              <w:kinsoku w:val="0"/>
              <w:autoSpaceDE w:val="0"/>
              <w:autoSpaceDN w:val="0"/>
              <w:snapToGrid w:val="0"/>
              <w:spacing w:line="0" w:lineRule="atLeast"/>
              <w:jc w:val="center"/>
              <w:textAlignment w:val="baseline"/>
              <w:rPr>
                <w:rFonts w:ascii="Times New Roman" w:hAnsi="Times New Roman"/>
              </w:rPr>
            </w:pPr>
          </w:p>
        </w:tc>
        <w:tc>
          <w:tcPr>
            <w:tcW w:w="786" w:type="pct"/>
            <w:noWrap/>
            <w:vAlign w:val="center"/>
          </w:tcPr>
          <w:p w14:paraId="7D68E1DA">
            <w:pPr>
              <w:kinsoku w:val="0"/>
              <w:autoSpaceDE w:val="0"/>
              <w:autoSpaceDN w:val="0"/>
              <w:snapToGrid w:val="0"/>
              <w:spacing w:line="0" w:lineRule="atLeast"/>
              <w:jc w:val="center"/>
              <w:textAlignment w:val="baseline"/>
              <w:rPr>
                <w:rFonts w:ascii="Times New Roman" w:hAnsi="Times New Roman"/>
              </w:rPr>
            </w:pPr>
            <w:r>
              <w:rPr>
                <w:rFonts w:ascii="Times New Roman" w:hAnsi="Times New Roman"/>
              </w:rPr>
              <w:t>特级一等2</w:t>
            </w:r>
          </w:p>
        </w:tc>
        <w:tc>
          <w:tcPr>
            <w:tcW w:w="721" w:type="pct"/>
            <w:noWrap/>
            <w:vAlign w:val="center"/>
          </w:tcPr>
          <w:p w14:paraId="08A7909B">
            <w:pPr>
              <w:kinsoku w:val="0"/>
              <w:autoSpaceDE w:val="0"/>
              <w:autoSpaceDN w:val="0"/>
              <w:snapToGrid w:val="0"/>
              <w:spacing w:line="0" w:lineRule="atLeast"/>
              <w:jc w:val="center"/>
              <w:textAlignment w:val="baseline"/>
              <w:rPr>
                <w:rFonts w:ascii="Times New Roman" w:hAnsi="Times New Roman"/>
              </w:rPr>
            </w:pPr>
            <w:r>
              <w:rPr>
                <w:rFonts w:ascii="Times New Roman" w:hAnsi="Times New Roman"/>
              </w:rPr>
              <w:t xml:space="preserve">93.4 </w:t>
            </w:r>
          </w:p>
        </w:tc>
        <w:tc>
          <w:tcPr>
            <w:tcW w:w="721" w:type="pct"/>
            <w:noWrap/>
            <w:vAlign w:val="center"/>
          </w:tcPr>
          <w:p w14:paraId="634DCD36">
            <w:pPr>
              <w:kinsoku w:val="0"/>
              <w:autoSpaceDE w:val="0"/>
              <w:autoSpaceDN w:val="0"/>
              <w:snapToGrid w:val="0"/>
              <w:spacing w:line="0" w:lineRule="atLeast"/>
              <w:jc w:val="center"/>
              <w:textAlignment w:val="baseline"/>
              <w:rPr>
                <w:rFonts w:ascii="Times New Roman" w:hAnsi="Times New Roman"/>
              </w:rPr>
            </w:pPr>
            <w:r>
              <w:rPr>
                <w:rFonts w:ascii="Times New Roman" w:hAnsi="Times New Roman"/>
              </w:rPr>
              <w:t xml:space="preserve">93.7 </w:t>
            </w:r>
          </w:p>
        </w:tc>
        <w:tc>
          <w:tcPr>
            <w:tcW w:w="721" w:type="pct"/>
            <w:noWrap/>
            <w:vAlign w:val="center"/>
          </w:tcPr>
          <w:p w14:paraId="66699D04">
            <w:pPr>
              <w:kinsoku w:val="0"/>
              <w:autoSpaceDE w:val="0"/>
              <w:autoSpaceDN w:val="0"/>
              <w:snapToGrid w:val="0"/>
              <w:spacing w:line="0" w:lineRule="atLeast"/>
              <w:jc w:val="center"/>
              <w:textAlignment w:val="baseline"/>
              <w:rPr>
                <w:rFonts w:ascii="Times New Roman" w:hAnsi="Times New Roman"/>
              </w:rPr>
            </w:pPr>
            <w:r>
              <w:rPr>
                <w:rFonts w:ascii="Times New Roman" w:hAnsi="Times New Roman"/>
              </w:rPr>
              <w:t xml:space="preserve">93.6 </w:t>
            </w:r>
          </w:p>
        </w:tc>
        <w:tc>
          <w:tcPr>
            <w:tcW w:w="721" w:type="pct"/>
            <w:noWrap/>
            <w:vAlign w:val="center"/>
          </w:tcPr>
          <w:p w14:paraId="00EFA8FE">
            <w:pPr>
              <w:kinsoku w:val="0"/>
              <w:autoSpaceDE w:val="0"/>
              <w:autoSpaceDN w:val="0"/>
              <w:snapToGrid w:val="0"/>
              <w:spacing w:line="0" w:lineRule="atLeast"/>
              <w:jc w:val="center"/>
              <w:textAlignment w:val="baseline"/>
              <w:rPr>
                <w:rFonts w:ascii="Times New Roman" w:hAnsi="Times New Roman"/>
              </w:rPr>
            </w:pPr>
            <w:r>
              <w:rPr>
                <w:rFonts w:ascii="Times New Roman" w:hAnsi="Times New Roman"/>
              </w:rPr>
              <w:t xml:space="preserve">93.57 </w:t>
            </w:r>
          </w:p>
        </w:tc>
        <w:tc>
          <w:tcPr>
            <w:tcW w:w="667" w:type="pct"/>
            <w:vMerge w:val="continue"/>
            <w:vAlign w:val="center"/>
          </w:tcPr>
          <w:p w14:paraId="024B52F7">
            <w:pPr>
              <w:kinsoku w:val="0"/>
              <w:autoSpaceDE w:val="0"/>
              <w:autoSpaceDN w:val="0"/>
              <w:snapToGrid w:val="0"/>
              <w:spacing w:line="0" w:lineRule="atLeast"/>
              <w:jc w:val="center"/>
              <w:textAlignment w:val="baseline"/>
              <w:rPr>
                <w:rFonts w:ascii="Times New Roman" w:hAnsi="Times New Roman"/>
              </w:rPr>
            </w:pPr>
          </w:p>
        </w:tc>
      </w:tr>
    </w:tbl>
    <w:p w14:paraId="04C77E53">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A.</w:t>
      </w:r>
      <w:r>
        <w:rPr>
          <w:rFonts w:ascii="Times New Roman" w:hAnsi="Times New Roman" w:eastAsia="黑体"/>
          <w:spacing w:val="-6"/>
        </w:rPr>
        <w:t xml:space="preserve"> </w:t>
      </w:r>
      <w:r>
        <w:rPr>
          <w:rFonts w:hint="eastAsia" w:ascii="Times New Roman" w:hAnsi="Times New Roman" w:eastAsia="黑体"/>
          <w:spacing w:val="-6"/>
        </w:rPr>
        <w:t>5</w:t>
      </w:r>
      <w:r>
        <w:rPr>
          <w:rFonts w:ascii="Times New Roman" w:hAnsi="Times New Roman" w:eastAsia="黑体"/>
          <w:spacing w:val="-6"/>
        </w:rPr>
        <w:t xml:space="preserve"> 洞庭山碧螺春茶感官分级标准样品长期稳定性检测指标及引入的标准偏差（以特级一等为例）</w:t>
      </w:r>
    </w:p>
    <w:tbl>
      <w:tblPr>
        <w:tblStyle w:val="2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316"/>
        <w:gridCol w:w="1194"/>
        <w:gridCol w:w="1194"/>
        <w:gridCol w:w="1194"/>
        <w:gridCol w:w="1194"/>
        <w:gridCol w:w="1066"/>
        <w:gridCol w:w="1125"/>
      </w:tblGrid>
      <w:tr w14:paraId="48A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84" w:type="pct"/>
            <w:noWrap/>
            <w:vAlign w:val="center"/>
          </w:tcPr>
          <w:p w14:paraId="423B5811">
            <w:pPr>
              <w:adjustRightInd/>
              <w:jc w:val="center"/>
              <w:rPr>
                <w:rFonts w:ascii="Times New Roman" w:hAnsi="Times New Roman"/>
              </w:rPr>
            </w:pPr>
            <w:r>
              <w:rPr>
                <w:rFonts w:ascii="Times New Roman" w:hAnsi="Times New Roman"/>
              </w:rPr>
              <w:t>等级</w:t>
            </w:r>
          </w:p>
        </w:tc>
        <w:tc>
          <w:tcPr>
            <w:tcW w:w="701" w:type="pct"/>
            <w:noWrap/>
            <w:vAlign w:val="center"/>
          </w:tcPr>
          <w:p w14:paraId="50A53C20">
            <w:pPr>
              <w:adjustRightInd/>
              <w:jc w:val="center"/>
              <w:rPr>
                <w:rFonts w:ascii="Times New Roman" w:hAnsi="Times New Roman"/>
                <w:i/>
                <w:iCs/>
              </w:rPr>
            </w:pPr>
            <w:r>
              <w:rPr>
                <w:rFonts w:ascii="Times New Roman" w:hAnsi="Times New Roman"/>
                <w:i/>
                <w:iCs/>
              </w:rPr>
              <w:t>b</w:t>
            </w:r>
            <w:r>
              <w:rPr>
                <w:rFonts w:ascii="Times New Roman" w:hAnsi="Times New Roman"/>
                <w:i/>
                <w:iCs/>
                <w:vertAlign w:val="subscript"/>
              </w:rPr>
              <w:t>1</w:t>
            </w:r>
          </w:p>
        </w:tc>
        <w:tc>
          <w:tcPr>
            <w:tcW w:w="636" w:type="pct"/>
            <w:noWrap/>
            <w:vAlign w:val="center"/>
          </w:tcPr>
          <w:p w14:paraId="067420C4">
            <w:pPr>
              <w:adjustRightInd/>
              <w:jc w:val="center"/>
              <w:rPr>
                <w:rFonts w:ascii="Times New Roman" w:hAnsi="Times New Roman"/>
                <w:i/>
                <w:iCs/>
              </w:rPr>
            </w:pPr>
            <w:r>
              <w:rPr>
                <w:rFonts w:ascii="Times New Roman" w:hAnsi="Times New Roman"/>
                <w:i/>
                <w:iCs/>
              </w:rPr>
              <w:t>b</w:t>
            </w:r>
            <w:r>
              <w:rPr>
                <w:rFonts w:ascii="Times New Roman" w:hAnsi="Times New Roman"/>
                <w:i/>
                <w:iCs/>
                <w:vertAlign w:val="subscript"/>
              </w:rPr>
              <w:t>0</w:t>
            </w:r>
          </w:p>
        </w:tc>
        <w:tc>
          <w:tcPr>
            <w:tcW w:w="636" w:type="pct"/>
            <w:noWrap/>
            <w:vAlign w:val="center"/>
          </w:tcPr>
          <w:p w14:paraId="4D3AC35B">
            <w:pPr>
              <w:adjustRightInd/>
              <w:jc w:val="center"/>
              <w:rPr>
                <w:rFonts w:ascii="Times New Roman" w:hAnsi="Times New Roman"/>
                <w:i/>
                <w:iCs/>
              </w:rPr>
            </w:pPr>
            <w:r>
              <w:rPr>
                <w:rFonts w:ascii="Times New Roman" w:hAnsi="Times New Roman"/>
                <w:i/>
                <w:iCs/>
              </w:rPr>
              <w:t>S2</w:t>
            </w:r>
          </w:p>
        </w:tc>
        <w:tc>
          <w:tcPr>
            <w:tcW w:w="636" w:type="pct"/>
            <w:noWrap/>
            <w:vAlign w:val="center"/>
          </w:tcPr>
          <w:p w14:paraId="148607AE">
            <w:pPr>
              <w:adjustRightInd/>
              <w:jc w:val="center"/>
              <w:rPr>
                <w:rFonts w:ascii="Times New Roman" w:hAnsi="Times New Roman"/>
                <w:i/>
                <w:iCs/>
              </w:rPr>
            </w:pPr>
            <w:r>
              <w:rPr>
                <w:rFonts w:ascii="Times New Roman" w:hAnsi="Times New Roman"/>
                <w:i/>
                <w:iCs/>
              </w:rPr>
              <w:t>S</w:t>
            </w:r>
          </w:p>
        </w:tc>
        <w:tc>
          <w:tcPr>
            <w:tcW w:w="636" w:type="pct"/>
            <w:noWrap/>
            <w:vAlign w:val="center"/>
          </w:tcPr>
          <w:p w14:paraId="48C4F162">
            <w:pPr>
              <w:adjustRightInd/>
              <w:jc w:val="center"/>
              <w:rPr>
                <w:rFonts w:ascii="Times New Roman" w:hAnsi="Times New Roman"/>
                <w:i/>
                <w:iCs/>
              </w:rPr>
            </w:pPr>
            <w:r>
              <w:rPr>
                <w:rFonts w:ascii="Times New Roman" w:hAnsi="Times New Roman"/>
                <w:i/>
                <w:iCs/>
              </w:rPr>
              <w:t>S</w:t>
            </w:r>
            <w:r>
              <w:rPr>
                <w:rFonts w:ascii="Times New Roman" w:hAnsi="Times New Roman"/>
                <w:i/>
                <w:iCs/>
                <w:vertAlign w:val="subscript"/>
              </w:rPr>
              <w:t>(b1)</w:t>
            </w:r>
          </w:p>
        </w:tc>
        <w:tc>
          <w:tcPr>
            <w:tcW w:w="568" w:type="pct"/>
            <w:noWrap/>
            <w:vAlign w:val="center"/>
          </w:tcPr>
          <w:p w14:paraId="56652E9D">
            <w:pPr>
              <w:adjustRightInd/>
              <w:jc w:val="center"/>
              <w:rPr>
                <w:rFonts w:ascii="Times New Roman" w:hAnsi="Times New Roman"/>
                <w:i/>
                <w:iCs/>
              </w:rPr>
            </w:pPr>
            <w:r>
              <w:rPr>
                <w:rFonts w:ascii="Times New Roman" w:hAnsi="Times New Roman"/>
                <w:i/>
                <w:iCs/>
              </w:rPr>
              <w:t>tb</w:t>
            </w:r>
            <w:r>
              <w:rPr>
                <w:rFonts w:ascii="Times New Roman" w:hAnsi="Times New Roman"/>
                <w:i/>
                <w:iCs/>
                <w:vertAlign w:val="subscript"/>
              </w:rPr>
              <w:t>1</w:t>
            </w:r>
          </w:p>
        </w:tc>
        <w:tc>
          <w:tcPr>
            <w:tcW w:w="599" w:type="pct"/>
            <w:noWrap/>
            <w:vAlign w:val="center"/>
          </w:tcPr>
          <w:p w14:paraId="70C3B01B">
            <w:pPr>
              <w:adjustRightInd/>
              <w:jc w:val="center"/>
              <w:rPr>
                <w:rFonts w:ascii="Times New Roman" w:hAnsi="Times New Roman"/>
                <w:i/>
                <w:iCs/>
              </w:rPr>
            </w:pPr>
            <w:r>
              <w:rPr>
                <w:rFonts w:ascii="Times New Roman" w:hAnsi="Times New Roman"/>
                <w:i/>
                <w:iCs/>
              </w:rPr>
              <w:t>u</w:t>
            </w:r>
            <w:r>
              <w:rPr>
                <w:rFonts w:ascii="Times New Roman" w:hAnsi="Times New Roman"/>
                <w:i/>
                <w:iCs/>
                <w:vertAlign w:val="subscript"/>
              </w:rPr>
              <w:t>lts</w:t>
            </w:r>
          </w:p>
        </w:tc>
      </w:tr>
      <w:tr w14:paraId="312E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84" w:type="pct"/>
            <w:noWrap/>
            <w:vAlign w:val="center"/>
          </w:tcPr>
          <w:p w14:paraId="034A81BA">
            <w:pPr>
              <w:adjustRightInd/>
              <w:jc w:val="center"/>
              <w:rPr>
                <w:rFonts w:ascii="Times New Roman" w:hAnsi="Times New Roman"/>
              </w:rPr>
            </w:pPr>
            <w:r>
              <w:rPr>
                <w:rFonts w:ascii="Times New Roman" w:hAnsi="Times New Roman"/>
              </w:rPr>
              <w:t>特级一等</w:t>
            </w:r>
          </w:p>
        </w:tc>
        <w:tc>
          <w:tcPr>
            <w:tcW w:w="701" w:type="pct"/>
            <w:noWrap/>
            <w:vAlign w:val="center"/>
          </w:tcPr>
          <w:p w14:paraId="7361D276">
            <w:pPr>
              <w:adjustRightInd/>
              <w:jc w:val="center"/>
              <w:rPr>
                <w:rFonts w:ascii="Times New Roman" w:hAnsi="Times New Roman"/>
              </w:rPr>
            </w:pPr>
            <w:r>
              <w:rPr>
                <w:rFonts w:ascii="Times New Roman" w:hAnsi="Times New Roman"/>
              </w:rPr>
              <w:t>-0.017</w:t>
            </w:r>
          </w:p>
        </w:tc>
        <w:tc>
          <w:tcPr>
            <w:tcW w:w="636" w:type="pct"/>
            <w:noWrap/>
            <w:vAlign w:val="center"/>
          </w:tcPr>
          <w:p w14:paraId="03447F85">
            <w:pPr>
              <w:adjustRightInd/>
              <w:jc w:val="center"/>
              <w:rPr>
                <w:rFonts w:ascii="Times New Roman" w:hAnsi="Times New Roman"/>
              </w:rPr>
            </w:pPr>
            <w:r>
              <w:rPr>
                <w:rFonts w:ascii="Times New Roman" w:hAnsi="Times New Roman"/>
              </w:rPr>
              <w:t>93.785</w:t>
            </w:r>
          </w:p>
        </w:tc>
        <w:tc>
          <w:tcPr>
            <w:tcW w:w="636" w:type="pct"/>
            <w:noWrap/>
            <w:vAlign w:val="center"/>
          </w:tcPr>
          <w:p w14:paraId="414E9227">
            <w:pPr>
              <w:adjustRightInd/>
              <w:jc w:val="center"/>
              <w:rPr>
                <w:rFonts w:ascii="Times New Roman" w:hAnsi="Times New Roman"/>
              </w:rPr>
            </w:pPr>
            <w:r>
              <w:rPr>
                <w:rFonts w:ascii="Times New Roman" w:hAnsi="Times New Roman"/>
              </w:rPr>
              <w:t>0.013</w:t>
            </w:r>
          </w:p>
        </w:tc>
        <w:tc>
          <w:tcPr>
            <w:tcW w:w="636" w:type="pct"/>
            <w:noWrap/>
            <w:vAlign w:val="center"/>
          </w:tcPr>
          <w:p w14:paraId="7504694D">
            <w:pPr>
              <w:adjustRightInd/>
              <w:jc w:val="center"/>
              <w:rPr>
                <w:rFonts w:ascii="Times New Roman" w:hAnsi="Times New Roman"/>
              </w:rPr>
            </w:pPr>
            <w:r>
              <w:rPr>
                <w:rFonts w:ascii="Times New Roman" w:hAnsi="Times New Roman"/>
              </w:rPr>
              <w:t>0.112</w:t>
            </w:r>
          </w:p>
        </w:tc>
        <w:tc>
          <w:tcPr>
            <w:tcW w:w="636" w:type="pct"/>
            <w:noWrap/>
            <w:vAlign w:val="center"/>
          </w:tcPr>
          <w:p w14:paraId="4B2460F2">
            <w:pPr>
              <w:adjustRightInd/>
              <w:jc w:val="center"/>
              <w:rPr>
                <w:rFonts w:ascii="Times New Roman" w:hAnsi="Times New Roman"/>
              </w:rPr>
            </w:pPr>
            <w:r>
              <w:rPr>
                <w:rFonts w:ascii="Times New Roman" w:hAnsi="Times New Roman"/>
              </w:rPr>
              <w:t>0.007</w:t>
            </w:r>
          </w:p>
        </w:tc>
        <w:tc>
          <w:tcPr>
            <w:tcW w:w="568" w:type="pct"/>
            <w:noWrap/>
            <w:vAlign w:val="center"/>
          </w:tcPr>
          <w:p w14:paraId="09E36886">
            <w:pPr>
              <w:adjustRightInd/>
              <w:jc w:val="center"/>
              <w:rPr>
                <w:rFonts w:ascii="Times New Roman" w:hAnsi="Times New Roman"/>
              </w:rPr>
            </w:pPr>
            <w:r>
              <w:rPr>
                <w:rFonts w:ascii="Times New Roman" w:hAnsi="Times New Roman"/>
              </w:rPr>
              <w:t>2.482</w:t>
            </w:r>
          </w:p>
        </w:tc>
        <w:tc>
          <w:tcPr>
            <w:tcW w:w="599" w:type="pct"/>
            <w:noWrap/>
            <w:vAlign w:val="center"/>
          </w:tcPr>
          <w:p w14:paraId="0DAD77AC">
            <w:pPr>
              <w:adjustRightInd/>
              <w:jc w:val="center"/>
              <w:rPr>
                <w:rFonts w:ascii="Times New Roman" w:hAnsi="Times New Roman"/>
              </w:rPr>
            </w:pPr>
            <w:r>
              <w:rPr>
                <w:rFonts w:ascii="Times New Roman" w:hAnsi="Times New Roman"/>
              </w:rPr>
              <w:t>0.123</w:t>
            </w:r>
          </w:p>
        </w:tc>
      </w:tr>
    </w:tbl>
    <w:p w14:paraId="7EA1F548">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drawing>
          <wp:anchor distT="0" distB="0" distL="114300" distR="114300" simplePos="0" relativeHeight="251662336" behindDoc="0" locked="0" layoutInCell="1" allowOverlap="1">
            <wp:simplePos x="0" y="0"/>
            <wp:positionH relativeFrom="column">
              <wp:posOffset>749300</wp:posOffset>
            </wp:positionH>
            <wp:positionV relativeFrom="paragraph">
              <wp:posOffset>97790</wp:posOffset>
            </wp:positionV>
            <wp:extent cx="3745865" cy="1984375"/>
            <wp:effectExtent l="0" t="0" r="6985" b="15875"/>
            <wp:wrapTopAndBottom/>
            <wp:docPr id="15351830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83039" name="图片 2"/>
                    <pic:cNvPicPr>
                      <a:picLocks noChangeAspect="1" noChangeArrowheads="1"/>
                    </pic:cNvPicPr>
                  </pic:nvPicPr>
                  <pic:blipFill>
                    <a:blip r:embed="rId105" cstate="print">
                      <a:grayscl/>
                      <a:extLst>
                        <a:ext uri="{BEBA8EAE-BF5A-486C-A8C5-ECC9F3942E4B}">
                          <a14:imgProps xmlns:a14="http://schemas.microsoft.com/office/drawing/2010/main">
                            <a14:imgLayer r:embed="rId106">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3745865" cy="1984375"/>
                    </a:xfrm>
                    <a:prstGeom prst="rect">
                      <a:avLst/>
                    </a:prstGeom>
                    <a:noFill/>
                  </pic:spPr>
                </pic:pic>
              </a:graphicData>
            </a:graphic>
          </wp:anchor>
        </w:drawing>
      </w:r>
      <w:r>
        <w:rPr>
          <w:rFonts w:ascii="Times New Roman" w:hAnsi="Times New Roman" w:eastAsia="黑体"/>
          <w:spacing w:val="-6"/>
        </w:rPr>
        <w:t>图</w:t>
      </w:r>
      <w:r>
        <w:rPr>
          <w:rFonts w:hint="eastAsia" w:ascii="Times New Roman" w:hAnsi="Times New Roman" w:eastAsia="黑体"/>
          <w:spacing w:val="-6"/>
        </w:rPr>
        <w:t>A.</w:t>
      </w:r>
      <w:r>
        <w:rPr>
          <w:rFonts w:ascii="Times New Roman" w:hAnsi="Times New Roman" w:eastAsia="黑体"/>
          <w:spacing w:val="-6"/>
        </w:rPr>
        <w:t>1 洞庭山碧螺春茶感官分级标准样品18个月长期稳定性监测结果</w:t>
      </w:r>
    </w:p>
    <w:p w14:paraId="6DF76C63">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工作人员对洞庭山碧螺春茶感官分级标准样品进行了短期稳定性检验时，将样品置于0℃（冷库冷藏）、20℃和40℃恒温箱中（模拟不同气温运输条件）保存，分别在第0、1、3、5、7天进行稳定性监测，测定方法及不确定度计算方法与长期稳定性监测相同。</w:t>
      </w:r>
    </w:p>
    <w:p w14:paraId="71B79D76">
      <w:pPr>
        <w:widowControl/>
        <w:adjustRightInd/>
        <w:spacing w:line="360" w:lineRule="auto"/>
        <w:ind w:firstLine="420" w:firstLineChars="200"/>
        <w:rPr>
          <w:rFonts w:ascii="Times New Roman" w:hAnsi="Times New Roman"/>
        </w:rPr>
      </w:pPr>
      <w:r>
        <w:rPr>
          <w:rFonts w:ascii="Times New Roman" w:hAnsi="Times New Roman"/>
        </w:rPr>
        <w:t>同时，分别将标准样品通过冷链方式运输到昆明、贵阳、杭州等具有国家认可资质的检验机构进行评审检验，检验分析表明标准样品的短期稳定性良好，符合标准样品要求。</w:t>
      </w:r>
    </w:p>
    <w:p w14:paraId="73E7B2F5">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w:t>
      </w:r>
      <w:r>
        <w:rPr>
          <w:rFonts w:ascii="Times New Roman" w:hAnsi="Times New Roman" w:eastAsia="黑体"/>
          <w:snapToGrid w:val="0"/>
          <w:color w:val="000000"/>
          <w:spacing w:val="-6"/>
          <w:kern w:val="0"/>
        </w:rPr>
        <w:t>.7  定值</w:t>
      </w:r>
    </w:p>
    <w:p w14:paraId="45EB9EBB">
      <w:pPr>
        <w:widowControl/>
        <w:adjustRightInd/>
        <w:spacing w:line="360" w:lineRule="auto"/>
        <w:ind w:firstLine="420" w:firstLineChars="200"/>
        <w:rPr>
          <w:rFonts w:ascii="Times New Roman" w:hAnsi="Times New Roman"/>
        </w:rPr>
      </w:pPr>
      <w:r>
        <w:rPr>
          <w:rFonts w:hint="eastAsia" w:ascii="Times New Roman" w:hAnsi="Times New Roman"/>
        </w:rPr>
        <w:t>10名定值专家</w:t>
      </w:r>
      <w:r>
        <w:rPr>
          <w:rFonts w:ascii="Times New Roman" w:hAnsi="Times New Roman"/>
        </w:rPr>
        <w:t>依据GB/T 23776</w:t>
      </w:r>
      <w:r>
        <w:rPr>
          <w:rFonts w:hint="eastAsia" w:ascii="Times New Roman" w:hAnsi="Times New Roman"/>
        </w:rPr>
        <w:t>对洞庭山碧螺春茶感官分级标准样品</w:t>
      </w:r>
      <w:r>
        <w:rPr>
          <w:rFonts w:ascii="Times New Roman" w:hAnsi="Times New Roman"/>
        </w:rPr>
        <w:t>进行</w:t>
      </w:r>
      <w:r>
        <w:rPr>
          <w:rFonts w:hint="eastAsia" w:ascii="Times New Roman" w:hAnsi="Times New Roman"/>
        </w:rPr>
        <w:t>符合性定值</w:t>
      </w:r>
      <w:r>
        <w:rPr>
          <w:rFonts w:ascii="Times New Roman" w:hAnsi="Times New Roman"/>
        </w:rPr>
        <w:t>。特性值</w:t>
      </w:r>
      <w:r>
        <w:rPr>
          <w:rFonts w:hint="eastAsia" w:ascii="Times New Roman" w:hAnsi="Times New Roman"/>
        </w:rPr>
        <w:t>（定性）</w:t>
      </w:r>
      <w:r>
        <w:rPr>
          <w:rFonts w:ascii="Times New Roman" w:hAnsi="Times New Roman"/>
        </w:rPr>
        <w:t>见表</w:t>
      </w:r>
      <w:r>
        <w:rPr>
          <w:rFonts w:hint="eastAsia" w:ascii="Times New Roman" w:hAnsi="Times New Roman"/>
        </w:rPr>
        <w:t>6</w:t>
      </w:r>
      <w:r>
        <w:rPr>
          <w:rFonts w:ascii="Times New Roman" w:hAnsi="Times New Roman"/>
        </w:rPr>
        <w:t>。</w:t>
      </w:r>
    </w:p>
    <w:p w14:paraId="7097A3A0">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A.6</w:t>
      </w:r>
      <w:r>
        <w:rPr>
          <w:rFonts w:ascii="Times New Roman" w:hAnsi="Times New Roman" w:eastAsia="黑体"/>
          <w:spacing w:val="-6"/>
        </w:rPr>
        <w:t xml:space="preserve"> 洞庭山碧螺春茶感官分级标准样品特性值</w:t>
      </w:r>
      <w:r>
        <w:rPr>
          <w:rFonts w:hint="eastAsia" w:ascii="Times New Roman" w:hAnsi="Times New Roman" w:eastAsia="黑体"/>
          <w:spacing w:val="-6"/>
        </w:rPr>
        <w:t>（定性）</w:t>
      </w:r>
      <w:r>
        <w:rPr>
          <w:rFonts w:ascii="Times New Roman" w:hAnsi="Times New Roman" w:eastAsia="黑体"/>
          <w:spacing w:val="-6"/>
        </w:rPr>
        <w:t>一览表（以特级一等为例）</w:t>
      </w:r>
    </w:p>
    <w:tbl>
      <w:tblPr>
        <w:tblStyle w:val="30"/>
        <w:tblW w:w="93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62"/>
        <w:gridCol w:w="1276"/>
        <w:gridCol w:w="1016"/>
        <w:gridCol w:w="1110"/>
        <w:gridCol w:w="3612"/>
      </w:tblGrid>
      <w:tr w14:paraId="2DA1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38" w:type="dxa"/>
            <w:vMerge w:val="restart"/>
            <w:noWrap/>
            <w:vAlign w:val="center"/>
          </w:tcPr>
          <w:p w14:paraId="126D0EA9">
            <w:pPr>
              <w:kinsoku w:val="0"/>
              <w:autoSpaceDE w:val="0"/>
              <w:autoSpaceDN w:val="0"/>
              <w:snapToGrid w:val="0"/>
              <w:jc w:val="center"/>
              <w:textAlignment w:val="baseline"/>
              <w:rPr>
                <w:rFonts w:ascii="Times New Roman" w:hAnsi="Times New Roman"/>
              </w:rPr>
            </w:pPr>
            <w:r>
              <w:rPr>
                <w:rFonts w:ascii="Times New Roman" w:hAnsi="Times New Roman"/>
              </w:rPr>
              <w:t>等级</w:t>
            </w:r>
          </w:p>
        </w:tc>
        <w:tc>
          <w:tcPr>
            <w:tcW w:w="1562" w:type="dxa"/>
            <w:vMerge w:val="restart"/>
            <w:noWrap/>
            <w:vAlign w:val="center"/>
          </w:tcPr>
          <w:p w14:paraId="4C228EB0">
            <w:pPr>
              <w:kinsoku w:val="0"/>
              <w:autoSpaceDE w:val="0"/>
              <w:autoSpaceDN w:val="0"/>
              <w:snapToGrid w:val="0"/>
              <w:jc w:val="center"/>
              <w:textAlignment w:val="baseline"/>
              <w:rPr>
                <w:rFonts w:ascii="Times New Roman" w:hAnsi="Times New Roman"/>
              </w:rPr>
            </w:pPr>
            <w:r>
              <w:rPr>
                <w:rFonts w:ascii="Times New Roman" w:hAnsi="Times New Roman"/>
              </w:rPr>
              <w:t>外形</w:t>
            </w:r>
          </w:p>
        </w:tc>
        <w:tc>
          <w:tcPr>
            <w:tcW w:w="7014" w:type="dxa"/>
            <w:gridSpan w:val="4"/>
            <w:noWrap/>
            <w:vAlign w:val="center"/>
          </w:tcPr>
          <w:p w14:paraId="65F1D63A">
            <w:pPr>
              <w:kinsoku w:val="0"/>
              <w:autoSpaceDE w:val="0"/>
              <w:autoSpaceDN w:val="0"/>
              <w:snapToGrid w:val="0"/>
              <w:jc w:val="center"/>
              <w:textAlignment w:val="baseline"/>
              <w:rPr>
                <w:rFonts w:ascii="Times New Roman" w:hAnsi="Times New Roman"/>
              </w:rPr>
            </w:pPr>
            <w:r>
              <w:rPr>
                <w:rFonts w:ascii="Times New Roman" w:hAnsi="Times New Roman"/>
              </w:rPr>
              <w:t>内质</w:t>
            </w:r>
          </w:p>
        </w:tc>
      </w:tr>
      <w:tr w14:paraId="024B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38" w:type="dxa"/>
            <w:vMerge w:val="continue"/>
            <w:vAlign w:val="center"/>
          </w:tcPr>
          <w:p w14:paraId="40CAF832">
            <w:pPr>
              <w:kinsoku w:val="0"/>
              <w:autoSpaceDE w:val="0"/>
              <w:autoSpaceDN w:val="0"/>
              <w:snapToGrid w:val="0"/>
              <w:jc w:val="center"/>
              <w:textAlignment w:val="baseline"/>
              <w:rPr>
                <w:rFonts w:ascii="Times New Roman" w:hAnsi="Times New Roman"/>
              </w:rPr>
            </w:pPr>
          </w:p>
        </w:tc>
        <w:tc>
          <w:tcPr>
            <w:tcW w:w="1562" w:type="dxa"/>
            <w:vMerge w:val="continue"/>
            <w:vAlign w:val="center"/>
          </w:tcPr>
          <w:p w14:paraId="46BEA7C0">
            <w:pPr>
              <w:kinsoku w:val="0"/>
              <w:autoSpaceDE w:val="0"/>
              <w:autoSpaceDN w:val="0"/>
              <w:snapToGrid w:val="0"/>
              <w:jc w:val="center"/>
              <w:textAlignment w:val="baseline"/>
              <w:rPr>
                <w:rFonts w:ascii="Times New Roman" w:hAnsi="Times New Roman"/>
              </w:rPr>
            </w:pPr>
          </w:p>
        </w:tc>
        <w:tc>
          <w:tcPr>
            <w:tcW w:w="1276" w:type="dxa"/>
            <w:noWrap/>
            <w:vAlign w:val="center"/>
          </w:tcPr>
          <w:p w14:paraId="7C1CB856">
            <w:pPr>
              <w:kinsoku w:val="0"/>
              <w:autoSpaceDE w:val="0"/>
              <w:autoSpaceDN w:val="0"/>
              <w:snapToGrid w:val="0"/>
              <w:jc w:val="center"/>
              <w:textAlignment w:val="baseline"/>
              <w:rPr>
                <w:rFonts w:ascii="Times New Roman" w:hAnsi="Times New Roman"/>
              </w:rPr>
            </w:pPr>
            <w:r>
              <w:rPr>
                <w:rFonts w:ascii="Times New Roman" w:hAnsi="Times New Roman"/>
              </w:rPr>
              <w:t>汤色</w:t>
            </w:r>
          </w:p>
        </w:tc>
        <w:tc>
          <w:tcPr>
            <w:tcW w:w="1016" w:type="dxa"/>
            <w:noWrap/>
            <w:vAlign w:val="center"/>
          </w:tcPr>
          <w:p w14:paraId="4A65184D">
            <w:pPr>
              <w:kinsoku w:val="0"/>
              <w:autoSpaceDE w:val="0"/>
              <w:autoSpaceDN w:val="0"/>
              <w:snapToGrid w:val="0"/>
              <w:jc w:val="center"/>
              <w:textAlignment w:val="baseline"/>
              <w:rPr>
                <w:rFonts w:ascii="Times New Roman" w:hAnsi="Times New Roman"/>
              </w:rPr>
            </w:pPr>
            <w:r>
              <w:rPr>
                <w:rFonts w:ascii="Times New Roman" w:hAnsi="Times New Roman"/>
              </w:rPr>
              <w:t>香气</w:t>
            </w:r>
          </w:p>
        </w:tc>
        <w:tc>
          <w:tcPr>
            <w:tcW w:w="1110" w:type="dxa"/>
            <w:noWrap/>
            <w:vAlign w:val="center"/>
          </w:tcPr>
          <w:p w14:paraId="466108A7">
            <w:pPr>
              <w:kinsoku w:val="0"/>
              <w:autoSpaceDE w:val="0"/>
              <w:autoSpaceDN w:val="0"/>
              <w:snapToGrid w:val="0"/>
              <w:jc w:val="center"/>
              <w:textAlignment w:val="baseline"/>
              <w:rPr>
                <w:rFonts w:ascii="Times New Roman" w:hAnsi="Times New Roman"/>
              </w:rPr>
            </w:pPr>
            <w:r>
              <w:rPr>
                <w:rFonts w:ascii="Times New Roman" w:hAnsi="Times New Roman"/>
              </w:rPr>
              <w:t>滋味</w:t>
            </w:r>
          </w:p>
        </w:tc>
        <w:tc>
          <w:tcPr>
            <w:tcW w:w="3612" w:type="dxa"/>
            <w:noWrap/>
            <w:vAlign w:val="center"/>
          </w:tcPr>
          <w:p w14:paraId="16015198">
            <w:pPr>
              <w:kinsoku w:val="0"/>
              <w:autoSpaceDE w:val="0"/>
              <w:autoSpaceDN w:val="0"/>
              <w:snapToGrid w:val="0"/>
              <w:jc w:val="center"/>
              <w:textAlignment w:val="baseline"/>
              <w:rPr>
                <w:rFonts w:ascii="Times New Roman" w:hAnsi="Times New Roman"/>
              </w:rPr>
            </w:pPr>
            <w:r>
              <w:rPr>
                <w:rFonts w:ascii="Times New Roman" w:hAnsi="Times New Roman"/>
              </w:rPr>
              <w:t>叶底</w:t>
            </w:r>
          </w:p>
        </w:tc>
      </w:tr>
      <w:tr w14:paraId="701E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38" w:type="dxa"/>
            <w:noWrap/>
            <w:vAlign w:val="center"/>
          </w:tcPr>
          <w:p w14:paraId="6AFAA1B8">
            <w:pPr>
              <w:kinsoku w:val="0"/>
              <w:autoSpaceDE w:val="0"/>
              <w:autoSpaceDN w:val="0"/>
              <w:snapToGrid w:val="0"/>
              <w:jc w:val="center"/>
              <w:textAlignment w:val="baseline"/>
              <w:rPr>
                <w:rFonts w:ascii="Times New Roman" w:hAnsi="Times New Roman"/>
              </w:rPr>
            </w:pPr>
            <w:r>
              <w:rPr>
                <w:rFonts w:ascii="Times New Roman" w:hAnsi="Times New Roman"/>
              </w:rPr>
              <w:t>特级</w:t>
            </w:r>
          </w:p>
          <w:p w14:paraId="56DE40E6">
            <w:pPr>
              <w:kinsoku w:val="0"/>
              <w:autoSpaceDE w:val="0"/>
              <w:autoSpaceDN w:val="0"/>
              <w:snapToGrid w:val="0"/>
              <w:jc w:val="center"/>
              <w:textAlignment w:val="baseline"/>
              <w:rPr>
                <w:rFonts w:ascii="Times New Roman" w:hAnsi="Times New Roman"/>
              </w:rPr>
            </w:pPr>
            <w:r>
              <w:rPr>
                <w:rFonts w:ascii="Times New Roman" w:hAnsi="Times New Roman"/>
              </w:rPr>
              <w:t>一等</w:t>
            </w:r>
          </w:p>
        </w:tc>
        <w:tc>
          <w:tcPr>
            <w:tcW w:w="1562" w:type="dxa"/>
            <w:noWrap/>
            <w:vAlign w:val="center"/>
          </w:tcPr>
          <w:p w14:paraId="3991B702">
            <w:pPr>
              <w:kinsoku w:val="0"/>
              <w:autoSpaceDE w:val="0"/>
              <w:autoSpaceDN w:val="0"/>
              <w:snapToGrid w:val="0"/>
              <w:jc w:val="center"/>
              <w:textAlignment w:val="baseline"/>
              <w:rPr>
                <w:rFonts w:ascii="Times New Roman" w:hAnsi="Times New Roman"/>
              </w:rPr>
            </w:pPr>
            <w:r>
              <w:rPr>
                <w:rFonts w:ascii="Times New Roman" w:hAnsi="Times New Roman"/>
              </w:rPr>
              <w:t>纤细、卷曲呈螺、满身披毫</w:t>
            </w:r>
          </w:p>
        </w:tc>
        <w:tc>
          <w:tcPr>
            <w:tcW w:w="1276" w:type="dxa"/>
            <w:noWrap/>
            <w:vAlign w:val="center"/>
          </w:tcPr>
          <w:p w14:paraId="7BA1326F">
            <w:pPr>
              <w:kinsoku w:val="0"/>
              <w:autoSpaceDE w:val="0"/>
              <w:autoSpaceDN w:val="0"/>
              <w:snapToGrid w:val="0"/>
              <w:jc w:val="center"/>
              <w:textAlignment w:val="baseline"/>
              <w:rPr>
                <w:rFonts w:ascii="Times New Roman" w:hAnsi="Times New Roman"/>
              </w:rPr>
            </w:pPr>
            <w:r>
              <w:rPr>
                <w:rFonts w:ascii="Times New Roman" w:hAnsi="Times New Roman"/>
              </w:rPr>
              <w:t>嫩绿</w:t>
            </w:r>
          </w:p>
          <w:p w14:paraId="05E079E3">
            <w:pPr>
              <w:kinsoku w:val="0"/>
              <w:autoSpaceDE w:val="0"/>
              <w:autoSpaceDN w:val="0"/>
              <w:snapToGrid w:val="0"/>
              <w:jc w:val="center"/>
              <w:textAlignment w:val="baseline"/>
              <w:rPr>
                <w:rFonts w:ascii="Times New Roman" w:hAnsi="Times New Roman"/>
              </w:rPr>
            </w:pPr>
            <w:r>
              <w:rPr>
                <w:rFonts w:ascii="Times New Roman" w:hAnsi="Times New Roman"/>
              </w:rPr>
              <w:t>鲜亮</w:t>
            </w:r>
          </w:p>
        </w:tc>
        <w:tc>
          <w:tcPr>
            <w:tcW w:w="1016" w:type="dxa"/>
            <w:noWrap/>
            <w:vAlign w:val="center"/>
          </w:tcPr>
          <w:p w14:paraId="54893060">
            <w:pPr>
              <w:kinsoku w:val="0"/>
              <w:autoSpaceDE w:val="0"/>
              <w:autoSpaceDN w:val="0"/>
              <w:snapToGrid w:val="0"/>
              <w:jc w:val="center"/>
              <w:textAlignment w:val="baseline"/>
              <w:rPr>
                <w:rFonts w:ascii="Times New Roman" w:hAnsi="Times New Roman"/>
              </w:rPr>
            </w:pPr>
            <w:r>
              <w:rPr>
                <w:rFonts w:ascii="Times New Roman" w:hAnsi="Times New Roman"/>
              </w:rPr>
              <w:t>嫩香</w:t>
            </w:r>
          </w:p>
          <w:p w14:paraId="2ABF3947">
            <w:pPr>
              <w:kinsoku w:val="0"/>
              <w:autoSpaceDE w:val="0"/>
              <w:autoSpaceDN w:val="0"/>
              <w:snapToGrid w:val="0"/>
              <w:jc w:val="center"/>
              <w:textAlignment w:val="baseline"/>
              <w:rPr>
                <w:rFonts w:ascii="Times New Roman" w:hAnsi="Times New Roman"/>
              </w:rPr>
            </w:pPr>
            <w:r>
              <w:rPr>
                <w:rFonts w:ascii="Times New Roman" w:hAnsi="Times New Roman"/>
              </w:rPr>
              <w:t>清鲜</w:t>
            </w:r>
          </w:p>
        </w:tc>
        <w:tc>
          <w:tcPr>
            <w:tcW w:w="1110" w:type="dxa"/>
            <w:noWrap/>
            <w:vAlign w:val="center"/>
          </w:tcPr>
          <w:p w14:paraId="15202D04">
            <w:pPr>
              <w:kinsoku w:val="0"/>
              <w:autoSpaceDE w:val="0"/>
              <w:autoSpaceDN w:val="0"/>
              <w:snapToGrid w:val="0"/>
              <w:jc w:val="center"/>
              <w:textAlignment w:val="baseline"/>
              <w:rPr>
                <w:rFonts w:ascii="Times New Roman" w:hAnsi="Times New Roman"/>
              </w:rPr>
            </w:pPr>
            <w:r>
              <w:rPr>
                <w:rFonts w:ascii="Times New Roman" w:hAnsi="Times New Roman"/>
              </w:rPr>
              <w:t>清鲜</w:t>
            </w:r>
          </w:p>
          <w:p w14:paraId="0C34A0AD">
            <w:pPr>
              <w:kinsoku w:val="0"/>
              <w:autoSpaceDE w:val="0"/>
              <w:autoSpaceDN w:val="0"/>
              <w:snapToGrid w:val="0"/>
              <w:jc w:val="center"/>
              <w:textAlignment w:val="baseline"/>
              <w:rPr>
                <w:rFonts w:ascii="Times New Roman" w:hAnsi="Times New Roman"/>
              </w:rPr>
            </w:pPr>
            <w:r>
              <w:rPr>
                <w:rFonts w:ascii="Times New Roman" w:hAnsi="Times New Roman"/>
              </w:rPr>
              <w:t>甘醇</w:t>
            </w:r>
          </w:p>
        </w:tc>
        <w:tc>
          <w:tcPr>
            <w:tcW w:w="3612" w:type="dxa"/>
            <w:noWrap/>
            <w:vAlign w:val="center"/>
          </w:tcPr>
          <w:p w14:paraId="0FCEAC89">
            <w:pPr>
              <w:kinsoku w:val="0"/>
              <w:autoSpaceDE w:val="0"/>
              <w:autoSpaceDN w:val="0"/>
              <w:snapToGrid w:val="0"/>
              <w:jc w:val="center"/>
              <w:textAlignment w:val="baseline"/>
              <w:rPr>
                <w:rFonts w:ascii="Times New Roman" w:hAnsi="Times New Roman"/>
              </w:rPr>
            </w:pPr>
            <w:r>
              <w:rPr>
                <w:rFonts w:ascii="Times New Roman" w:hAnsi="Times New Roman"/>
              </w:rPr>
              <w:t>幼嫩、多芽、嫩绿鲜活</w:t>
            </w:r>
          </w:p>
        </w:tc>
      </w:tr>
    </w:tbl>
    <w:p w14:paraId="575621D8">
      <w:pPr>
        <w:widowControl/>
        <w:kinsoku w:val="0"/>
        <w:autoSpaceDE w:val="0"/>
        <w:autoSpaceDN w:val="0"/>
        <w:snapToGrid w:val="0"/>
        <w:spacing w:line="360" w:lineRule="auto"/>
        <w:ind w:firstLine="420" w:firstLineChars="200"/>
        <w:textAlignment w:val="baseline"/>
        <w:rPr>
          <w:rFonts w:ascii="Times New Roman" w:hAnsi="Times New Roman"/>
        </w:rPr>
      </w:pPr>
      <w:r>
        <w:rPr>
          <w:rFonts w:hint="eastAsia" w:ascii="Times New Roman" w:hAnsi="Times New Roman"/>
        </w:rPr>
        <w:t>10位定值专家同时对标准样品采用百分制进行评分，特性值（定量）见表7。经统计特级一等最终的平均分值为93.61分，定值的不确定度</w:t>
      </w:r>
      <w:r>
        <w:rPr>
          <w:rFonts w:ascii="Times New Roman" w:hAnsi="Times New Roman"/>
          <w:i/>
          <w:iCs/>
          <w:sz w:val="20"/>
          <w:szCs w:val="20"/>
        </w:rPr>
        <w:t>u</w:t>
      </w:r>
      <w:r>
        <w:rPr>
          <w:rFonts w:hint="eastAsia" w:ascii="Times New Roman" w:hAnsi="Times New Roman"/>
          <w:i/>
          <w:iCs/>
          <w:sz w:val="20"/>
          <w:szCs w:val="20"/>
          <w:vertAlign w:val="subscript"/>
        </w:rPr>
        <w:t>char</w:t>
      </w:r>
      <w:r>
        <w:rPr>
          <w:rFonts w:hint="eastAsia" w:ascii="Times New Roman" w:hAnsi="Times New Roman"/>
        </w:rPr>
        <w:t>=0.155。</w:t>
      </w:r>
    </w:p>
    <w:p w14:paraId="51C7D567">
      <w:pPr>
        <w:spacing w:before="156" w:beforeLines="50" w:line="360" w:lineRule="auto"/>
        <w:ind w:firstLine="420"/>
        <w:jc w:val="center"/>
        <w:rPr>
          <w:rFonts w:ascii="Times New Roman" w:hAnsi="Times New Roman" w:eastAsia="黑体"/>
          <w:spacing w:val="-6"/>
        </w:rPr>
      </w:pPr>
    </w:p>
    <w:p w14:paraId="43D341A3">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A.7</w:t>
      </w:r>
      <w:r>
        <w:rPr>
          <w:rFonts w:ascii="Times New Roman" w:hAnsi="Times New Roman" w:eastAsia="黑体"/>
          <w:spacing w:val="-6"/>
        </w:rPr>
        <w:t xml:space="preserve"> 洞庭山碧螺春茶感官分级标准样品特性值</w:t>
      </w:r>
      <w:r>
        <w:rPr>
          <w:rFonts w:hint="eastAsia" w:ascii="Times New Roman" w:hAnsi="Times New Roman" w:eastAsia="黑体"/>
          <w:spacing w:val="-6"/>
        </w:rPr>
        <w:t>（定值）</w:t>
      </w:r>
      <w:r>
        <w:rPr>
          <w:rFonts w:ascii="Times New Roman" w:hAnsi="Times New Roman" w:eastAsia="黑体"/>
          <w:spacing w:val="-6"/>
        </w:rPr>
        <w:t>一览表（以特级一等为例）</w:t>
      </w:r>
    </w:p>
    <w:tbl>
      <w:tblPr>
        <w:tblStyle w:val="28"/>
        <w:tblW w:w="4860" w:type="pct"/>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663"/>
        <w:gridCol w:w="664"/>
        <w:gridCol w:w="664"/>
        <w:gridCol w:w="664"/>
        <w:gridCol w:w="664"/>
        <w:gridCol w:w="664"/>
        <w:gridCol w:w="664"/>
        <w:gridCol w:w="664"/>
        <w:gridCol w:w="664"/>
        <w:gridCol w:w="664"/>
        <w:gridCol w:w="659"/>
        <w:gridCol w:w="670"/>
        <w:gridCol w:w="675"/>
      </w:tblGrid>
      <w:tr w14:paraId="4172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56" w:type="pct"/>
            <w:noWrap/>
            <w:vAlign w:val="center"/>
          </w:tcPr>
          <w:p w14:paraId="4608BA3C">
            <w:pPr>
              <w:adjustRightInd/>
              <w:jc w:val="center"/>
              <w:rPr>
                <w:rFonts w:ascii="Times New Roman" w:hAnsi="Times New Roman"/>
              </w:rPr>
            </w:pPr>
            <w:r>
              <w:rPr>
                <w:rFonts w:ascii="Times New Roman" w:hAnsi="Times New Roman"/>
              </w:rPr>
              <w:t>等级</w:t>
            </w:r>
          </w:p>
        </w:tc>
        <w:tc>
          <w:tcPr>
            <w:tcW w:w="356" w:type="pct"/>
            <w:noWrap/>
            <w:vAlign w:val="center"/>
          </w:tcPr>
          <w:p w14:paraId="6191DF05">
            <w:pPr>
              <w:adjustRightInd/>
              <w:jc w:val="center"/>
              <w:rPr>
                <w:rFonts w:ascii="Times New Roman" w:hAnsi="Times New Roman"/>
              </w:rPr>
            </w:pPr>
            <w:r>
              <w:rPr>
                <w:rFonts w:ascii="Times New Roman" w:hAnsi="Times New Roman"/>
              </w:rPr>
              <w:t>1</w:t>
            </w:r>
          </w:p>
        </w:tc>
        <w:tc>
          <w:tcPr>
            <w:tcW w:w="356" w:type="pct"/>
            <w:noWrap/>
            <w:vAlign w:val="center"/>
          </w:tcPr>
          <w:p w14:paraId="6C11D5DA">
            <w:pPr>
              <w:adjustRightInd/>
              <w:jc w:val="center"/>
              <w:rPr>
                <w:rFonts w:ascii="Times New Roman" w:hAnsi="Times New Roman"/>
              </w:rPr>
            </w:pPr>
            <w:r>
              <w:rPr>
                <w:rFonts w:ascii="Times New Roman" w:hAnsi="Times New Roman"/>
              </w:rPr>
              <w:t>2</w:t>
            </w:r>
          </w:p>
        </w:tc>
        <w:tc>
          <w:tcPr>
            <w:tcW w:w="356" w:type="pct"/>
            <w:noWrap/>
            <w:vAlign w:val="center"/>
          </w:tcPr>
          <w:p w14:paraId="2DCA16EE">
            <w:pPr>
              <w:adjustRightInd/>
              <w:jc w:val="center"/>
              <w:rPr>
                <w:rFonts w:ascii="Times New Roman" w:hAnsi="Times New Roman"/>
              </w:rPr>
            </w:pPr>
            <w:r>
              <w:rPr>
                <w:rFonts w:ascii="Times New Roman" w:hAnsi="Times New Roman"/>
              </w:rPr>
              <w:t>3</w:t>
            </w:r>
          </w:p>
        </w:tc>
        <w:tc>
          <w:tcPr>
            <w:tcW w:w="356" w:type="pct"/>
            <w:noWrap/>
            <w:vAlign w:val="center"/>
          </w:tcPr>
          <w:p w14:paraId="1E14F68D">
            <w:pPr>
              <w:adjustRightInd/>
              <w:jc w:val="center"/>
              <w:rPr>
                <w:rFonts w:ascii="Times New Roman" w:hAnsi="Times New Roman"/>
              </w:rPr>
            </w:pPr>
            <w:r>
              <w:rPr>
                <w:rFonts w:ascii="Times New Roman" w:hAnsi="Times New Roman"/>
              </w:rPr>
              <w:t>4</w:t>
            </w:r>
          </w:p>
        </w:tc>
        <w:tc>
          <w:tcPr>
            <w:tcW w:w="356" w:type="pct"/>
            <w:noWrap/>
            <w:vAlign w:val="center"/>
          </w:tcPr>
          <w:p w14:paraId="08D3E3AC">
            <w:pPr>
              <w:adjustRightInd/>
              <w:jc w:val="center"/>
              <w:rPr>
                <w:rFonts w:ascii="Times New Roman" w:hAnsi="Times New Roman"/>
              </w:rPr>
            </w:pPr>
            <w:r>
              <w:rPr>
                <w:rFonts w:ascii="Times New Roman" w:hAnsi="Times New Roman"/>
              </w:rPr>
              <w:t>5</w:t>
            </w:r>
          </w:p>
        </w:tc>
        <w:tc>
          <w:tcPr>
            <w:tcW w:w="356" w:type="pct"/>
            <w:noWrap/>
            <w:vAlign w:val="center"/>
          </w:tcPr>
          <w:p w14:paraId="1E2F4D61">
            <w:pPr>
              <w:adjustRightInd/>
              <w:jc w:val="center"/>
              <w:rPr>
                <w:rFonts w:ascii="Times New Roman" w:hAnsi="Times New Roman"/>
              </w:rPr>
            </w:pPr>
            <w:r>
              <w:rPr>
                <w:rFonts w:ascii="Times New Roman" w:hAnsi="Times New Roman"/>
              </w:rPr>
              <w:t>6</w:t>
            </w:r>
          </w:p>
        </w:tc>
        <w:tc>
          <w:tcPr>
            <w:tcW w:w="356" w:type="pct"/>
            <w:noWrap/>
            <w:vAlign w:val="center"/>
          </w:tcPr>
          <w:p w14:paraId="6D7A8001">
            <w:pPr>
              <w:adjustRightInd/>
              <w:jc w:val="center"/>
              <w:rPr>
                <w:rFonts w:ascii="Times New Roman" w:hAnsi="Times New Roman"/>
              </w:rPr>
            </w:pPr>
            <w:r>
              <w:rPr>
                <w:rFonts w:ascii="Times New Roman" w:hAnsi="Times New Roman"/>
              </w:rPr>
              <w:t>7</w:t>
            </w:r>
          </w:p>
        </w:tc>
        <w:tc>
          <w:tcPr>
            <w:tcW w:w="356" w:type="pct"/>
            <w:noWrap/>
            <w:vAlign w:val="center"/>
          </w:tcPr>
          <w:p w14:paraId="7327B7B5">
            <w:pPr>
              <w:adjustRightInd/>
              <w:jc w:val="center"/>
              <w:rPr>
                <w:rFonts w:ascii="Times New Roman" w:hAnsi="Times New Roman"/>
              </w:rPr>
            </w:pPr>
            <w:r>
              <w:rPr>
                <w:rFonts w:ascii="Times New Roman" w:hAnsi="Times New Roman"/>
              </w:rPr>
              <w:t>8</w:t>
            </w:r>
          </w:p>
        </w:tc>
        <w:tc>
          <w:tcPr>
            <w:tcW w:w="356" w:type="pct"/>
            <w:noWrap/>
            <w:vAlign w:val="center"/>
          </w:tcPr>
          <w:p w14:paraId="1FE8ED1C">
            <w:pPr>
              <w:adjustRightInd/>
              <w:jc w:val="center"/>
              <w:rPr>
                <w:rFonts w:ascii="Times New Roman" w:hAnsi="Times New Roman"/>
              </w:rPr>
            </w:pPr>
            <w:r>
              <w:rPr>
                <w:rFonts w:ascii="Times New Roman" w:hAnsi="Times New Roman"/>
              </w:rPr>
              <w:t>9</w:t>
            </w:r>
          </w:p>
        </w:tc>
        <w:tc>
          <w:tcPr>
            <w:tcW w:w="356" w:type="pct"/>
            <w:noWrap/>
            <w:vAlign w:val="center"/>
          </w:tcPr>
          <w:p w14:paraId="350F8BD7">
            <w:pPr>
              <w:adjustRightInd/>
              <w:jc w:val="center"/>
              <w:rPr>
                <w:rFonts w:ascii="Times New Roman" w:hAnsi="Times New Roman"/>
              </w:rPr>
            </w:pPr>
            <w:r>
              <w:rPr>
                <w:rFonts w:ascii="Times New Roman" w:hAnsi="Times New Roman"/>
              </w:rPr>
              <w:t>10</w:t>
            </w:r>
          </w:p>
        </w:tc>
        <w:tc>
          <w:tcPr>
            <w:tcW w:w="353" w:type="pct"/>
            <w:noWrap/>
            <w:vAlign w:val="center"/>
          </w:tcPr>
          <w:p w14:paraId="4B149AEE">
            <w:pPr>
              <w:adjustRightInd/>
              <w:jc w:val="center"/>
              <w:rPr>
                <w:rFonts w:ascii="Times New Roman" w:hAnsi="Times New Roman"/>
              </w:rPr>
            </w:pPr>
            <w:r>
              <w:rPr>
                <w:rFonts w:ascii="Times New Roman" w:hAnsi="Times New Roman"/>
              </w:rPr>
              <w:t>平均</w:t>
            </w:r>
          </w:p>
        </w:tc>
        <w:tc>
          <w:tcPr>
            <w:tcW w:w="359" w:type="pct"/>
            <w:noWrap/>
            <w:vAlign w:val="center"/>
          </w:tcPr>
          <w:p w14:paraId="086B0AB4">
            <w:pPr>
              <w:adjustRightInd/>
              <w:jc w:val="center"/>
              <w:rPr>
                <w:rFonts w:ascii="Times New Roman" w:hAnsi="Times New Roman"/>
                <w:i/>
                <w:iCs/>
              </w:rPr>
            </w:pPr>
            <w:r>
              <w:rPr>
                <w:rFonts w:ascii="Times New Roman" w:hAnsi="Times New Roman"/>
                <w:i/>
                <w:iCs/>
              </w:rPr>
              <w:t>S</w:t>
            </w:r>
          </w:p>
        </w:tc>
        <w:tc>
          <w:tcPr>
            <w:tcW w:w="362" w:type="pct"/>
            <w:noWrap/>
            <w:vAlign w:val="center"/>
          </w:tcPr>
          <w:p w14:paraId="1AF1338F">
            <w:pPr>
              <w:adjustRightInd/>
              <w:jc w:val="center"/>
              <w:rPr>
                <w:rFonts w:ascii="Times New Roman" w:hAnsi="Times New Roman"/>
              </w:rPr>
            </w:pPr>
            <w:r>
              <w:rPr>
                <w:rFonts w:ascii="Times New Roman" w:hAnsi="Times New Roman"/>
                <w:i/>
                <w:iCs/>
              </w:rPr>
              <w:t>u</w:t>
            </w:r>
            <w:r>
              <w:rPr>
                <w:rFonts w:ascii="Times New Roman" w:hAnsi="Times New Roman"/>
                <w:i/>
                <w:iCs/>
                <w:vertAlign w:val="subscript"/>
              </w:rPr>
              <w:t>char</w:t>
            </w:r>
          </w:p>
        </w:tc>
      </w:tr>
      <w:tr w14:paraId="30AE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56" w:type="pct"/>
            <w:noWrap/>
            <w:vAlign w:val="center"/>
          </w:tcPr>
          <w:p w14:paraId="097E8203">
            <w:pPr>
              <w:adjustRightInd/>
              <w:jc w:val="center"/>
              <w:rPr>
                <w:rFonts w:ascii="Times New Roman" w:hAnsi="Times New Roman"/>
              </w:rPr>
            </w:pPr>
            <w:r>
              <w:rPr>
                <w:rFonts w:ascii="Times New Roman" w:hAnsi="Times New Roman"/>
              </w:rPr>
              <w:t>特级一等</w:t>
            </w:r>
          </w:p>
        </w:tc>
        <w:tc>
          <w:tcPr>
            <w:tcW w:w="356" w:type="pct"/>
            <w:noWrap/>
            <w:vAlign w:val="center"/>
          </w:tcPr>
          <w:p w14:paraId="32FC6FE2">
            <w:pPr>
              <w:adjustRightInd/>
              <w:jc w:val="center"/>
              <w:rPr>
                <w:rFonts w:ascii="Times New Roman" w:hAnsi="Times New Roman"/>
              </w:rPr>
            </w:pPr>
            <w:r>
              <w:rPr>
                <w:rFonts w:ascii="Times New Roman" w:hAnsi="Times New Roman"/>
              </w:rPr>
              <w:t>93.6</w:t>
            </w:r>
          </w:p>
        </w:tc>
        <w:tc>
          <w:tcPr>
            <w:tcW w:w="356" w:type="pct"/>
            <w:noWrap/>
            <w:vAlign w:val="center"/>
          </w:tcPr>
          <w:p w14:paraId="3BC1CFF4">
            <w:pPr>
              <w:adjustRightInd/>
              <w:jc w:val="center"/>
              <w:rPr>
                <w:rFonts w:ascii="Times New Roman" w:hAnsi="Times New Roman"/>
              </w:rPr>
            </w:pPr>
            <w:r>
              <w:rPr>
                <w:rFonts w:ascii="Times New Roman" w:hAnsi="Times New Roman"/>
              </w:rPr>
              <w:t>93.7</w:t>
            </w:r>
          </w:p>
        </w:tc>
        <w:tc>
          <w:tcPr>
            <w:tcW w:w="356" w:type="pct"/>
            <w:noWrap/>
            <w:vAlign w:val="center"/>
          </w:tcPr>
          <w:p w14:paraId="0BAB4F37">
            <w:pPr>
              <w:adjustRightInd/>
              <w:jc w:val="center"/>
              <w:rPr>
                <w:rFonts w:ascii="Times New Roman" w:hAnsi="Times New Roman"/>
              </w:rPr>
            </w:pPr>
            <w:r>
              <w:rPr>
                <w:rFonts w:ascii="Times New Roman" w:hAnsi="Times New Roman"/>
              </w:rPr>
              <w:t>93.6</w:t>
            </w:r>
          </w:p>
        </w:tc>
        <w:tc>
          <w:tcPr>
            <w:tcW w:w="356" w:type="pct"/>
            <w:noWrap/>
            <w:vAlign w:val="center"/>
          </w:tcPr>
          <w:p w14:paraId="40A4E14A">
            <w:pPr>
              <w:adjustRightInd/>
              <w:jc w:val="center"/>
              <w:rPr>
                <w:rFonts w:ascii="Times New Roman" w:hAnsi="Times New Roman"/>
              </w:rPr>
            </w:pPr>
            <w:r>
              <w:rPr>
                <w:rFonts w:ascii="Times New Roman" w:hAnsi="Times New Roman"/>
              </w:rPr>
              <w:t>93.6</w:t>
            </w:r>
          </w:p>
        </w:tc>
        <w:tc>
          <w:tcPr>
            <w:tcW w:w="356" w:type="pct"/>
            <w:noWrap/>
            <w:vAlign w:val="center"/>
          </w:tcPr>
          <w:p w14:paraId="05D19459">
            <w:pPr>
              <w:adjustRightInd/>
              <w:jc w:val="center"/>
              <w:rPr>
                <w:rFonts w:ascii="Times New Roman" w:hAnsi="Times New Roman"/>
              </w:rPr>
            </w:pPr>
            <w:r>
              <w:rPr>
                <w:rFonts w:ascii="Times New Roman" w:hAnsi="Times New Roman"/>
              </w:rPr>
              <w:t>93.6</w:t>
            </w:r>
          </w:p>
        </w:tc>
        <w:tc>
          <w:tcPr>
            <w:tcW w:w="356" w:type="pct"/>
            <w:noWrap/>
            <w:vAlign w:val="center"/>
          </w:tcPr>
          <w:p w14:paraId="5086F8C9">
            <w:pPr>
              <w:adjustRightInd/>
              <w:jc w:val="center"/>
              <w:rPr>
                <w:rFonts w:ascii="Times New Roman" w:hAnsi="Times New Roman"/>
              </w:rPr>
            </w:pPr>
            <w:r>
              <w:rPr>
                <w:rFonts w:ascii="Times New Roman" w:hAnsi="Times New Roman"/>
              </w:rPr>
              <w:t>93.7</w:t>
            </w:r>
          </w:p>
        </w:tc>
        <w:tc>
          <w:tcPr>
            <w:tcW w:w="356" w:type="pct"/>
            <w:noWrap/>
            <w:vAlign w:val="center"/>
          </w:tcPr>
          <w:p w14:paraId="064D1995">
            <w:pPr>
              <w:adjustRightInd/>
              <w:jc w:val="center"/>
              <w:rPr>
                <w:rFonts w:ascii="Times New Roman" w:hAnsi="Times New Roman"/>
              </w:rPr>
            </w:pPr>
            <w:r>
              <w:rPr>
                <w:rFonts w:ascii="Times New Roman" w:hAnsi="Times New Roman"/>
              </w:rPr>
              <w:t>93.6</w:t>
            </w:r>
          </w:p>
        </w:tc>
        <w:tc>
          <w:tcPr>
            <w:tcW w:w="356" w:type="pct"/>
            <w:noWrap/>
            <w:vAlign w:val="center"/>
          </w:tcPr>
          <w:p w14:paraId="22D9DD19">
            <w:pPr>
              <w:adjustRightInd/>
              <w:jc w:val="center"/>
              <w:rPr>
                <w:rFonts w:ascii="Times New Roman" w:hAnsi="Times New Roman"/>
              </w:rPr>
            </w:pPr>
            <w:r>
              <w:rPr>
                <w:rFonts w:ascii="Times New Roman" w:hAnsi="Times New Roman"/>
              </w:rPr>
              <w:t>93.4</w:t>
            </w:r>
          </w:p>
        </w:tc>
        <w:tc>
          <w:tcPr>
            <w:tcW w:w="356" w:type="pct"/>
            <w:noWrap/>
            <w:vAlign w:val="center"/>
          </w:tcPr>
          <w:p w14:paraId="234CF9D0">
            <w:pPr>
              <w:adjustRightInd/>
              <w:jc w:val="center"/>
              <w:rPr>
                <w:rFonts w:ascii="Times New Roman" w:hAnsi="Times New Roman"/>
              </w:rPr>
            </w:pPr>
            <w:r>
              <w:rPr>
                <w:rFonts w:ascii="Times New Roman" w:hAnsi="Times New Roman"/>
              </w:rPr>
              <w:t>93.6</w:t>
            </w:r>
          </w:p>
        </w:tc>
        <w:tc>
          <w:tcPr>
            <w:tcW w:w="356" w:type="pct"/>
            <w:noWrap/>
            <w:vAlign w:val="center"/>
          </w:tcPr>
          <w:p w14:paraId="513F4375">
            <w:pPr>
              <w:adjustRightInd/>
              <w:jc w:val="center"/>
              <w:rPr>
                <w:rFonts w:ascii="Times New Roman" w:hAnsi="Times New Roman"/>
              </w:rPr>
            </w:pPr>
            <w:r>
              <w:rPr>
                <w:rFonts w:ascii="Times New Roman" w:hAnsi="Times New Roman"/>
              </w:rPr>
              <w:t>93.7</w:t>
            </w:r>
          </w:p>
        </w:tc>
        <w:tc>
          <w:tcPr>
            <w:tcW w:w="353" w:type="pct"/>
            <w:noWrap/>
            <w:vAlign w:val="center"/>
          </w:tcPr>
          <w:p w14:paraId="3E39F5C2">
            <w:pPr>
              <w:adjustRightInd/>
              <w:jc w:val="center"/>
              <w:rPr>
                <w:rFonts w:ascii="Times New Roman" w:hAnsi="Times New Roman"/>
              </w:rPr>
            </w:pPr>
            <w:r>
              <w:rPr>
                <w:rFonts w:ascii="Times New Roman" w:hAnsi="Times New Roman"/>
              </w:rPr>
              <w:t>93.6</w:t>
            </w:r>
          </w:p>
        </w:tc>
        <w:tc>
          <w:tcPr>
            <w:tcW w:w="359" w:type="pct"/>
            <w:noWrap/>
            <w:vAlign w:val="center"/>
          </w:tcPr>
          <w:p w14:paraId="58CF9BA5">
            <w:pPr>
              <w:adjustRightInd/>
              <w:jc w:val="center"/>
              <w:rPr>
                <w:rFonts w:ascii="Times New Roman" w:hAnsi="Times New Roman"/>
              </w:rPr>
            </w:pPr>
            <w:r>
              <w:rPr>
                <w:rFonts w:ascii="Times New Roman" w:hAnsi="Times New Roman"/>
              </w:rPr>
              <w:t>0.09</w:t>
            </w:r>
          </w:p>
        </w:tc>
        <w:tc>
          <w:tcPr>
            <w:tcW w:w="362" w:type="pct"/>
            <w:noWrap/>
            <w:vAlign w:val="center"/>
          </w:tcPr>
          <w:p w14:paraId="379A08C3">
            <w:pPr>
              <w:adjustRightInd/>
              <w:jc w:val="center"/>
              <w:rPr>
                <w:rFonts w:ascii="Times New Roman" w:hAnsi="Times New Roman"/>
              </w:rPr>
            </w:pPr>
            <w:r>
              <w:rPr>
                <w:rFonts w:ascii="Times New Roman" w:hAnsi="Times New Roman"/>
              </w:rPr>
              <w:t>0.0</w:t>
            </w:r>
            <w:r>
              <w:rPr>
                <w:rFonts w:hint="eastAsia" w:ascii="Times New Roman" w:hAnsi="Times New Roman"/>
              </w:rPr>
              <w:t>3</w:t>
            </w:r>
          </w:p>
        </w:tc>
      </w:tr>
    </w:tbl>
    <w:p w14:paraId="7CCA232C">
      <w:pPr>
        <w:pStyle w:val="14"/>
        <w:widowControl/>
        <w:wordWrap w:val="0"/>
        <w:autoSpaceDE w:val="0"/>
        <w:autoSpaceDN w:val="0"/>
        <w:snapToGrid w:val="0"/>
        <w:spacing w:before="156" w:beforeLines="50" w:after="0" w:line="360" w:lineRule="auto"/>
        <w:jc w:val="left"/>
        <w:textAlignment w:val="baseline"/>
        <w:outlineLvl w:val="1"/>
        <w:rPr>
          <w:rFonts w:ascii="Times New Roman" w:hAnsi="Times New Roman" w:eastAsia="黑体"/>
          <w:snapToGrid w:val="0"/>
          <w:color w:val="000000"/>
          <w:spacing w:val="-6"/>
          <w:kern w:val="0"/>
        </w:rPr>
      </w:pPr>
      <w:r>
        <w:rPr>
          <w:rFonts w:hint="eastAsia" w:ascii="Times New Roman" w:hAnsi="Times New Roman" w:eastAsia="黑体"/>
          <w:snapToGrid w:val="0"/>
          <w:color w:val="000000"/>
          <w:spacing w:val="-6"/>
          <w:kern w:val="0"/>
        </w:rPr>
        <w:t>A</w:t>
      </w:r>
      <w:r>
        <w:rPr>
          <w:rFonts w:ascii="Times New Roman" w:hAnsi="Times New Roman" w:eastAsia="黑体"/>
          <w:snapToGrid w:val="0"/>
          <w:color w:val="000000"/>
          <w:spacing w:val="-6"/>
          <w:kern w:val="0"/>
        </w:rPr>
        <w:t>.8  不确定度评估</w:t>
      </w:r>
    </w:p>
    <w:p w14:paraId="7CEB666B">
      <w:pPr>
        <w:widowControl/>
        <w:kinsoku w:val="0"/>
        <w:autoSpaceDE w:val="0"/>
        <w:autoSpaceDN w:val="0"/>
        <w:snapToGrid w:val="0"/>
        <w:spacing w:line="360" w:lineRule="auto"/>
        <w:ind w:firstLine="420" w:firstLineChars="200"/>
        <w:textAlignment w:val="baseline"/>
        <w:rPr>
          <w:rFonts w:ascii="Times New Roman" w:hAnsi="Times New Roman"/>
        </w:rPr>
      </w:pPr>
      <w:r>
        <w:rPr>
          <w:rFonts w:hint="eastAsia" w:ascii="Times New Roman" w:hAnsi="Times New Roman"/>
        </w:rPr>
        <w:t>标准样品</w:t>
      </w:r>
      <w:r>
        <w:rPr>
          <w:rFonts w:ascii="Times New Roman" w:hAnsi="Times New Roman"/>
        </w:rPr>
        <w:t>不确定度来源于不</w:t>
      </w:r>
      <w:r>
        <w:rPr>
          <w:rFonts w:hint="eastAsia" w:ascii="Times New Roman" w:hAnsi="Times New Roman"/>
        </w:rPr>
        <w:t>均匀</w:t>
      </w:r>
      <w:r>
        <w:rPr>
          <w:rFonts w:ascii="Times New Roman" w:hAnsi="Times New Roman"/>
        </w:rPr>
        <w:t>性、不稳定性（长期和短期）和定值引入。</w:t>
      </w:r>
    </w:p>
    <w:p w14:paraId="00861BF9">
      <w:pPr>
        <w:spacing w:before="156" w:beforeLines="50" w:line="360" w:lineRule="auto"/>
        <w:ind w:firstLine="420"/>
        <w:jc w:val="center"/>
        <w:rPr>
          <w:rFonts w:ascii="Times New Roman" w:hAnsi="Times New Roman" w:eastAsia="黑体"/>
          <w:spacing w:val="-6"/>
        </w:rPr>
      </w:pPr>
      <w:r>
        <w:rPr>
          <w:rFonts w:hint="eastAsia" w:ascii="Times New Roman" w:hAnsi="Times New Roman" w:eastAsia="黑体"/>
          <w:spacing w:val="-6"/>
        </w:rPr>
        <w:t xml:space="preserve">表A.8 </w:t>
      </w:r>
      <w:r>
        <w:rPr>
          <w:rFonts w:ascii="Times New Roman" w:hAnsi="Times New Roman" w:eastAsia="黑体"/>
          <w:spacing w:val="-6"/>
        </w:rPr>
        <w:t>洞庭山碧螺春茶感官分级标准样品</w:t>
      </w:r>
      <w:r>
        <w:rPr>
          <w:rFonts w:hint="eastAsia" w:ascii="Times New Roman" w:hAnsi="Times New Roman" w:eastAsia="黑体"/>
          <w:spacing w:val="-6"/>
        </w:rPr>
        <w:t>不确定度一览表（以特级一等为例）</w:t>
      </w:r>
    </w:p>
    <w:tbl>
      <w:tblPr>
        <w:tblStyle w:val="28"/>
        <w:tblW w:w="4839" w:type="pct"/>
        <w:tblInd w:w="125" w:type="dxa"/>
        <w:tblLayout w:type="autofit"/>
        <w:tblCellMar>
          <w:top w:w="0" w:type="dxa"/>
          <w:left w:w="108" w:type="dxa"/>
          <w:bottom w:w="0" w:type="dxa"/>
          <w:right w:w="108" w:type="dxa"/>
        </w:tblCellMar>
      </w:tblPr>
      <w:tblGrid>
        <w:gridCol w:w="1542"/>
        <w:gridCol w:w="1543"/>
        <w:gridCol w:w="1543"/>
        <w:gridCol w:w="1543"/>
        <w:gridCol w:w="1543"/>
        <w:gridCol w:w="1548"/>
      </w:tblGrid>
      <w:tr w14:paraId="753BEAD6">
        <w:tblPrEx>
          <w:tblCellMar>
            <w:top w:w="0" w:type="dxa"/>
            <w:left w:w="108" w:type="dxa"/>
            <w:bottom w:w="0" w:type="dxa"/>
            <w:right w:w="108" w:type="dxa"/>
          </w:tblCellMar>
        </w:tblPrEx>
        <w:trPr>
          <w:trHeight w:val="408" w:hRule="atLeast"/>
        </w:trPr>
        <w:tc>
          <w:tcPr>
            <w:tcW w:w="832" w:type="pct"/>
            <w:tcBorders>
              <w:top w:val="single" w:color="auto" w:sz="8" w:space="0"/>
              <w:left w:val="single" w:color="auto" w:sz="8" w:space="0"/>
              <w:bottom w:val="single" w:color="auto" w:sz="8" w:space="0"/>
              <w:right w:val="single" w:color="auto" w:sz="8" w:space="0"/>
            </w:tcBorders>
            <w:noWrap/>
            <w:vAlign w:val="center"/>
          </w:tcPr>
          <w:p w14:paraId="2C1A38C1">
            <w:pPr>
              <w:adjustRightInd/>
              <w:jc w:val="center"/>
              <w:rPr>
                <w:rFonts w:ascii="Times New Roman" w:hAnsi="Times New Roman"/>
              </w:rPr>
            </w:pPr>
            <w:r>
              <w:rPr>
                <w:rFonts w:ascii="Times New Roman" w:hAnsi="Times New Roman"/>
              </w:rPr>
              <w:t>　等级</w:t>
            </w:r>
          </w:p>
        </w:tc>
        <w:tc>
          <w:tcPr>
            <w:tcW w:w="832" w:type="pct"/>
            <w:tcBorders>
              <w:top w:val="single" w:color="auto" w:sz="8" w:space="0"/>
              <w:left w:val="nil"/>
              <w:bottom w:val="single" w:color="auto" w:sz="8" w:space="0"/>
              <w:right w:val="single" w:color="auto" w:sz="8" w:space="0"/>
            </w:tcBorders>
            <w:noWrap/>
            <w:vAlign w:val="center"/>
          </w:tcPr>
          <w:p w14:paraId="6A43E71E">
            <w:pPr>
              <w:adjustRightInd/>
              <w:jc w:val="center"/>
              <w:rPr>
                <w:rFonts w:ascii="Times New Roman" w:hAnsi="Times New Roman"/>
                <w:i/>
                <w:iCs/>
              </w:rPr>
            </w:pPr>
            <w:r>
              <w:rPr>
                <w:rFonts w:ascii="Times New Roman" w:hAnsi="Times New Roman"/>
                <w:i/>
                <w:iCs/>
              </w:rPr>
              <w:t>S</w:t>
            </w:r>
            <w:r>
              <w:rPr>
                <w:rFonts w:ascii="Times New Roman" w:hAnsi="Times New Roman"/>
                <w:i/>
                <w:iCs/>
                <w:vertAlign w:val="subscript"/>
              </w:rPr>
              <w:t>bb</w:t>
            </w:r>
          </w:p>
        </w:tc>
        <w:tc>
          <w:tcPr>
            <w:tcW w:w="832" w:type="pct"/>
            <w:tcBorders>
              <w:top w:val="single" w:color="auto" w:sz="8" w:space="0"/>
              <w:left w:val="nil"/>
              <w:bottom w:val="single" w:color="auto" w:sz="8" w:space="0"/>
              <w:right w:val="single" w:color="auto" w:sz="8" w:space="0"/>
            </w:tcBorders>
            <w:vAlign w:val="center"/>
          </w:tcPr>
          <w:p w14:paraId="2A97E984">
            <w:pPr>
              <w:adjustRightInd/>
              <w:jc w:val="center"/>
              <w:rPr>
                <w:rFonts w:ascii="Times New Roman" w:hAnsi="Times New Roman"/>
                <w:i/>
                <w:iCs/>
              </w:rPr>
            </w:pPr>
            <w:r>
              <w:rPr>
                <w:rFonts w:ascii="Times New Roman" w:hAnsi="Times New Roman"/>
                <w:i/>
                <w:iCs/>
              </w:rPr>
              <w:t>u</w:t>
            </w:r>
            <w:r>
              <w:rPr>
                <w:rFonts w:ascii="Times New Roman" w:hAnsi="Times New Roman"/>
                <w:i/>
                <w:iCs/>
                <w:vertAlign w:val="subscript"/>
              </w:rPr>
              <w:t>lts</w:t>
            </w:r>
          </w:p>
        </w:tc>
        <w:tc>
          <w:tcPr>
            <w:tcW w:w="832" w:type="pct"/>
            <w:tcBorders>
              <w:top w:val="single" w:color="auto" w:sz="8" w:space="0"/>
              <w:left w:val="nil"/>
              <w:bottom w:val="single" w:color="auto" w:sz="8" w:space="0"/>
              <w:right w:val="single" w:color="auto" w:sz="8" w:space="0"/>
            </w:tcBorders>
            <w:noWrap/>
            <w:vAlign w:val="center"/>
          </w:tcPr>
          <w:p w14:paraId="7FA33D56">
            <w:pPr>
              <w:adjustRightInd/>
              <w:jc w:val="center"/>
              <w:rPr>
                <w:rFonts w:ascii="Times New Roman" w:hAnsi="Times New Roman"/>
                <w:i/>
                <w:iCs/>
              </w:rPr>
            </w:pPr>
            <w:r>
              <w:rPr>
                <w:rFonts w:ascii="Times New Roman" w:hAnsi="Times New Roman"/>
                <w:i/>
                <w:iCs/>
              </w:rPr>
              <w:t>u</w:t>
            </w:r>
            <w:r>
              <w:rPr>
                <w:rFonts w:ascii="Times New Roman" w:hAnsi="Times New Roman"/>
                <w:i/>
                <w:iCs/>
                <w:vertAlign w:val="subscript"/>
              </w:rPr>
              <w:t>sts</w:t>
            </w:r>
          </w:p>
        </w:tc>
        <w:tc>
          <w:tcPr>
            <w:tcW w:w="832" w:type="pct"/>
            <w:tcBorders>
              <w:top w:val="single" w:color="auto" w:sz="8" w:space="0"/>
              <w:left w:val="nil"/>
              <w:bottom w:val="single" w:color="auto" w:sz="8" w:space="0"/>
              <w:right w:val="single" w:color="auto" w:sz="8" w:space="0"/>
            </w:tcBorders>
            <w:vAlign w:val="center"/>
          </w:tcPr>
          <w:p w14:paraId="59990F5B">
            <w:pPr>
              <w:adjustRightInd/>
              <w:jc w:val="center"/>
              <w:rPr>
                <w:rFonts w:ascii="Times New Roman" w:hAnsi="Times New Roman"/>
                <w:i/>
                <w:iCs/>
              </w:rPr>
            </w:pPr>
            <w:r>
              <w:rPr>
                <w:rFonts w:ascii="Times New Roman" w:hAnsi="Times New Roman"/>
                <w:i/>
                <w:iCs/>
              </w:rPr>
              <w:t>u</w:t>
            </w:r>
            <w:r>
              <w:rPr>
                <w:rFonts w:ascii="Times New Roman" w:hAnsi="Times New Roman"/>
                <w:i/>
                <w:iCs/>
                <w:vertAlign w:val="subscript"/>
              </w:rPr>
              <w:t>char</w:t>
            </w:r>
          </w:p>
        </w:tc>
        <w:tc>
          <w:tcPr>
            <w:tcW w:w="835" w:type="pct"/>
            <w:tcBorders>
              <w:top w:val="single" w:color="auto" w:sz="8" w:space="0"/>
              <w:left w:val="nil"/>
              <w:bottom w:val="single" w:color="auto" w:sz="8" w:space="0"/>
              <w:right w:val="single" w:color="auto" w:sz="8" w:space="0"/>
            </w:tcBorders>
            <w:noWrap/>
            <w:vAlign w:val="center"/>
          </w:tcPr>
          <w:p w14:paraId="43AAC12E">
            <w:pPr>
              <w:adjustRightInd/>
              <w:jc w:val="center"/>
              <w:rPr>
                <w:rFonts w:ascii="Times New Roman" w:hAnsi="Times New Roman"/>
                <w:i/>
                <w:iCs/>
              </w:rPr>
            </w:pPr>
            <w:r>
              <w:rPr>
                <w:rFonts w:ascii="Times New Roman" w:hAnsi="Times New Roman"/>
                <w:i/>
                <w:iCs/>
              </w:rPr>
              <w:t>u</w:t>
            </w:r>
            <w:r>
              <w:rPr>
                <w:rFonts w:ascii="Times New Roman" w:hAnsi="Times New Roman"/>
                <w:i/>
                <w:iCs/>
                <w:vertAlign w:val="subscript"/>
              </w:rPr>
              <w:t>CRM</w:t>
            </w:r>
          </w:p>
        </w:tc>
      </w:tr>
      <w:tr w14:paraId="13F399ED">
        <w:tblPrEx>
          <w:tblCellMar>
            <w:top w:w="0" w:type="dxa"/>
            <w:left w:w="108" w:type="dxa"/>
            <w:bottom w:w="0" w:type="dxa"/>
            <w:right w:w="108" w:type="dxa"/>
          </w:tblCellMar>
        </w:tblPrEx>
        <w:trPr>
          <w:trHeight w:val="408" w:hRule="atLeast"/>
        </w:trPr>
        <w:tc>
          <w:tcPr>
            <w:tcW w:w="832" w:type="pct"/>
            <w:tcBorders>
              <w:top w:val="nil"/>
              <w:left w:val="single" w:color="auto" w:sz="8" w:space="0"/>
              <w:bottom w:val="single" w:color="auto" w:sz="8" w:space="0"/>
              <w:right w:val="single" w:color="auto" w:sz="8" w:space="0"/>
            </w:tcBorders>
            <w:noWrap/>
            <w:vAlign w:val="center"/>
          </w:tcPr>
          <w:p w14:paraId="6EAF84D9">
            <w:pPr>
              <w:adjustRightInd/>
              <w:jc w:val="center"/>
              <w:rPr>
                <w:rFonts w:ascii="Times New Roman" w:hAnsi="Times New Roman"/>
              </w:rPr>
            </w:pPr>
            <w:r>
              <w:rPr>
                <w:rFonts w:ascii="Times New Roman" w:hAnsi="Times New Roman"/>
              </w:rPr>
              <w:t>特级一等</w:t>
            </w:r>
          </w:p>
        </w:tc>
        <w:tc>
          <w:tcPr>
            <w:tcW w:w="832" w:type="pct"/>
            <w:tcBorders>
              <w:top w:val="nil"/>
              <w:left w:val="nil"/>
              <w:bottom w:val="single" w:color="auto" w:sz="8" w:space="0"/>
              <w:right w:val="single" w:color="auto" w:sz="8" w:space="0"/>
            </w:tcBorders>
            <w:noWrap/>
            <w:vAlign w:val="center"/>
          </w:tcPr>
          <w:p w14:paraId="02763890">
            <w:pPr>
              <w:adjustRightInd/>
              <w:jc w:val="center"/>
              <w:rPr>
                <w:rFonts w:ascii="Times New Roman" w:hAnsi="Times New Roman"/>
              </w:rPr>
            </w:pPr>
            <w:r>
              <w:rPr>
                <w:rFonts w:ascii="Times New Roman" w:hAnsi="Times New Roman"/>
              </w:rPr>
              <w:t>0.089</w:t>
            </w:r>
          </w:p>
        </w:tc>
        <w:tc>
          <w:tcPr>
            <w:tcW w:w="832" w:type="pct"/>
            <w:tcBorders>
              <w:top w:val="nil"/>
              <w:left w:val="nil"/>
              <w:bottom w:val="single" w:color="auto" w:sz="8" w:space="0"/>
              <w:right w:val="single" w:color="auto" w:sz="8" w:space="0"/>
            </w:tcBorders>
            <w:vAlign w:val="center"/>
          </w:tcPr>
          <w:p w14:paraId="10AB7F5E">
            <w:pPr>
              <w:adjustRightInd/>
              <w:jc w:val="center"/>
              <w:rPr>
                <w:rFonts w:ascii="Times New Roman" w:hAnsi="Times New Roman"/>
              </w:rPr>
            </w:pPr>
            <w:r>
              <w:rPr>
                <w:rFonts w:ascii="Times New Roman" w:hAnsi="Times New Roman"/>
              </w:rPr>
              <w:t>0.123</w:t>
            </w:r>
          </w:p>
        </w:tc>
        <w:tc>
          <w:tcPr>
            <w:tcW w:w="832" w:type="pct"/>
            <w:tcBorders>
              <w:top w:val="nil"/>
              <w:left w:val="nil"/>
              <w:bottom w:val="single" w:color="auto" w:sz="8" w:space="0"/>
              <w:right w:val="single" w:color="auto" w:sz="8" w:space="0"/>
            </w:tcBorders>
            <w:noWrap/>
            <w:vAlign w:val="center"/>
          </w:tcPr>
          <w:p w14:paraId="78B3C803">
            <w:pPr>
              <w:adjustRightInd/>
              <w:jc w:val="center"/>
              <w:rPr>
                <w:rFonts w:ascii="Times New Roman" w:hAnsi="Times New Roman"/>
              </w:rPr>
            </w:pPr>
            <w:r>
              <w:rPr>
                <w:rFonts w:ascii="Times New Roman" w:hAnsi="Times New Roman"/>
              </w:rPr>
              <w:t>0.017</w:t>
            </w:r>
          </w:p>
        </w:tc>
        <w:tc>
          <w:tcPr>
            <w:tcW w:w="832" w:type="pct"/>
            <w:tcBorders>
              <w:top w:val="nil"/>
              <w:left w:val="nil"/>
              <w:bottom w:val="single" w:color="auto" w:sz="8" w:space="0"/>
              <w:right w:val="single" w:color="auto" w:sz="8" w:space="0"/>
            </w:tcBorders>
            <w:vAlign w:val="center"/>
          </w:tcPr>
          <w:p w14:paraId="15F51A31">
            <w:pPr>
              <w:adjustRightInd/>
              <w:jc w:val="center"/>
              <w:rPr>
                <w:rFonts w:ascii="Times New Roman" w:hAnsi="Times New Roman"/>
              </w:rPr>
            </w:pPr>
            <w:r>
              <w:rPr>
                <w:rFonts w:ascii="Times New Roman" w:hAnsi="Times New Roman"/>
              </w:rPr>
              <w:t>0.029</w:t>
            </w:r>
          </w:p>
        </w:tc>
        <w:tc>
          <w:tcPr>
            <w:tcW w:w="835" w:type="pct"/>
            <w:tcBorders>
              <w:top w:val="nil"/>
              <w:left w:val="nil"/>
              <w:bottom w:val="single" w:color="auto" w:sz="8" w:space="0"/>
              <w:right w:val="single" w:color="auto" w:sz="8" w:space="0"/>
            </w:tcBorders>
            <w:noWrap/>
            <w:vAlign w:val="center"/>
          </w:tcPr>
          <w:p w14:paraId="6DA249FA">
            <w:pPr>
              <w:adjustRightInd/>
              <w:jc w:val="center"/>
              <w:rPr>
                <w:rFonts w:ascii="Times New Roman" w:hAnsi="Times New Roman"/>
              </w:rPr>
            </w:pPr>
            <w:r>
              <w:rPr>
                <w:rFonts w:ascii="Times New Roman" w:hAnsi="Times New Roman"/>
              </w:rPr>
              <w:t xml:space="preserve">0.155 </w:t>
            </w:r>
          </w:p>
        </w:tc>
      </w:tr>
    </w:tbl>
    <w:p w14:paraId="6B10246B">
      <w:pPr>
        <w:spacing w:before="156" w:beforeLines="50" w:line="360" w:lineRule="auto"/>
        <w:ind w:firstLine="420"/>
        <w:jc w:val="center"/>
        <w:rPr>
          <w:rFonts w:ascii="Times New Roman" w:hAnsi="Times New Roman" w:eastAsia="黑体"/>
          <w:spacing w:val="-6"/>
        </w:rPr>
      </w:pPr>
      <w:r>
        <w:rPr>
          <w:rFonts w:hint="eastAsia" w:ascii="Times New Roman" w:hAnsi="Times New Roman" w:eastAsia="黑体"/>
          <w:spacing w:val="-6"/>
        </w:rPr>
        <w:t>表A.9 洞庭山碧螺春感官分级标准样品联合定值引入的标准偏差（以特级一等为例）</w:t>
      </w:r>
    </w:p>
    <w:tbl>
      <w:tblPr>
        <w:tblStyle w:val="30"/>
        <w:tblW w:w="4847" w:type="pct"/>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900"/>
        <w:gridCol w:w="989"/>
        <w:gridCol w:w="1154"/>
        <w:gridCol w:w="830"/>
        <w:gridCol w:w="889"/>
      </w:tblGrid>
      <w:tr w14:paraId="3F15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432" w:type="pct"/>
            <w:vMerge w:val="restart"/>
            <w:noWrap/>
            <w:vAlign w:val="center"/>
          </w:tcPr>
          <w:p w14:paraId="63A1B43A">
            <w:pPr>
              <w:kinsoku/>
              <w:autoSpaceDE/>
              <w:autoSpaceDN/>
              <w:adjustRightInd/>
              <w:snapToGrid/>
              <w:jc w:val="center"/>
              <w:textAlignment w:val="auto"/>
              <w:rPr>
                <w:rFonts w:ascii="Times New Roman" w:hAnsi="Times New Roman"/>
              </w:rPr>
            </w:pPr>
            <w:r>
              <w:rPr>
                <w:rFonts w:ascii="Times New Roman" w:hAnsi="Times New Roman"/>
              </w:rPr>
              <w:t>标准样品名称</w:t>
            </w:r>
          </w:p>
        </w:tc>
        <w:tc>
          <w:tcPr>
            <w:tcW w:w="2087" w:type="pct"/>
            <w:gridSpan w:val="4"/>
            <w:noWrap/>
            <w:vAlign w:val="center"/>
          </w:tcPr>
          <w:p w14:paraId="628BE80C">
            <w:pPr>
              <w:kinsoku/>
              <w:autoSpaceDE/>
              <w:autoSpaceDN/>
              <w:adjustRightInd/>
              <w:snapToGrid/>
              <w:jc w:val="center"/>
              <w:textAlignment w:val="auto"/>
              <w:rPr>
                <w:rFonts w:ascii="Times New Roman" w:hAnsi="Times New Roman"/>
              </w:rPr>
            </w:pPr>
            <w:r>
              <w:rPr>
                <w:rFonts w:ascii="Times New Roman" w:hAnsi="Times New Roman"/>
              </w:rPr>
              <w:t>主要技术指标</w:t>
            </w:r>
          </w:p>
        </w:tc>
        <w:tc>
          <w:tcPr>
            <w:tcW w:w="479" w:type="pct"/>
            <w:vMerge w:val="restart"/>
            <w:noWrap/>
            <w:vAlign w:val="center"/>
          </w:tcPr>
          <w:p w14:paraId="1CAB9DBF">
            <w:pPr>
              <w:kinsoku/>
              <w:autoSpaceDE/>
              <w:autoSpaceDN/>
              <w:adjustRightInd/>
              <w:snapToGrid/>
              <w:jc w:val="center"/>
              <w:textAlignment w:val="auto"/>
              <w:rPr>
                <w:rFonts w:ascii="Times New Roman" w:hAnsi="Times New Roman"/>
              </w:rPr>
            </w:pPr>
            <w:r>
              <w:rPr>
                <w:rFonts w:ascii="Times New Roman" w:hAnsi="Times New Roman"/>
              </w:rPr>
              <w:t>有效期</w:t>
            </w:r>
          </w:p>
        </w:tc>
      </w:tr>
      <w:tr w14:paraId="2DF0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432" w:type="pct"/>
            <w:vMerge w:val="continue"/>
            <w:vAlign w:val="center"/>
          </w:tcPr>
          <w:p w14:paraId="5C77FB6A">
            <w:pPr>
              <w:kinsoku/>
              <w:autoSpaceDE/>
              <w:autoSpaceDN/>
              <w:adjustRightInd/>
              <w:snapToGrid/>
              <w:jc w:val="center"/>
              <w:textAlignment w:val="auto"/>
              <w:rPr>
                <w:rFonts w:ascii="Times New Roman" w:hAnsi="Times New Roman"/>
              </w:rPr>
            </w:pPr>
          </w:p>
        </w:tc>
        <w:tc>
          <w:tcPr>
            <w:tcW w:w="485" w:type="pct"/>
            <w:noWrap/>
            <w:vAlign w:val="center"/>
          </w:tcPr>
          <w:p w14:paraId="3443F8AC">
            <w:pPr>
              <w:kinsoku/>
              <w:autoSpaceDE/>
              <w:autoSpaceDN/>
              <w:adjustRightInd/>
              <w:snapToGrid/>
              <w:jc w:val="center"/>
              <w:textAlignment w:val="auto"/>
              <w:rPr>
                <w:rFonts w:ascii="Times New Roman" w:hAnsi="Times New Roman"/>
              </w:rPr>
            </w:pPr>
            <w:r>
              <w:rPr>
                <w:rFonts w:ascii="Times New Roman" w:hAnsi="Times New Roman"/>
              </w:rPr>
              <w:t>成分</w:t>
            </w:r>
          </w:p>
        </w:tc>
        <w:tc>
          <w:tcPr>
            <w:tcW w:w="533" w:type="pct"/>
            <w:noWrap/>
            <w:vAlign w:val="center"/>
          </w:tcPr>
          <w:p w14:paraId="0562B6B5">
            <w:pPr>
              <w:kinsoku/>
              <w:autoSpaceDE/>
              <w:autoSpaceDN/>
              <w:adjustRightInd/>
              <w:snapToGrid/>
              <w:jc w:val="center"/>
              <w:textAlignment w:val="auto"/>
              <w:rPr>
                <w:rFonts w:ascii="Times New Roman" w:hAnsi="Times New Roman"/>
              </w:rPr>
            </w:pPr>
            <w:r>
              <w:rPr>
                <w:rFonts w:ascii="Times New Roman" w:hAnsi="Times New Roman"/>
              </w:rPr>
              <w:t>标准值</w:t>
            </w:r>
          </w:p>
        </w:tc>
        <w:tc>
          <w:tcPr>
            <w:tcW w:w="622" w:type="pct"/>
            <w:noWrap/>
            <w:vAlign w:val="center"/>
          </w:tcPr>
          <w:p w14:paraId="3DA0AD81">
            <w:pPr>
              <w:kinsoku/>
              <w:autoSpaceDE/>
              <w:autoSpaceDN/>
              <w:adjustRightInd/>
              <w:snapToGrid/>
              <w:jc w:val="center"/>
              <w:textAlignment w:val="auto"/>
              <w:rPr>
                <w:rFonts w:ascii="Times New Roman" w:hAnsi="Times New Roman"/>
              </w:rPr>
            </w:pPr>
            <w:r>
              <w:rPr>
                <w:rFonts w:ascii="Times New Roman" w:hAnsi="Times New Roman"/>
              </w:rPr>
              <w:t>不确定度</w:t>
            </w:r>
          </w:p>
        </w:tc>
        <w:tc>
          <w:tcPr>
            <w:tcW w:w="446" w:type="pct"/>
            <w:noWrap/>
            <w:vAlign w:val="center"/>
          </w:tcPr>
          <w:p w14:paraId="39F5E526">
            <w:pPr>
              <w:kinsoku/>
              <w:autoSpaceDE/>
              <w:autoSpaceDN/>
              <w:adjustRightInd/>
              <w:snapToGrid/>
              <w:jc w:val="center"/>
              <w:textAlignment w:val="auto"/>
              <w:rPr>
                <w:rFonts w:ascii="Times New Roman" w:hAnsi="Times New Roman"/>
              </w:rPr>
            </w:pPr>
            <w:r>
              <w:rPr>
                <w:rFonts w:ascii="Times New Roman" w:hAnsi="Times New Roman"/>
              </w:rPr>
              <w:t>形态</w:t>
            </w:r>
          </w:p>
        </w:tc>
        <w:tc>
          <w:tcPr>
            <w:tcW w:w="479" w:type="pct"/>
            <w:vMerge w:val="continue"/>
            <w:vAlign w:val="center"/>
          </w:tcPr>
          <w:p w14:paraId="5DC9285D">
            <w:pPr>
              <w:kinsoku/>
              <w:autoSpaceDE/>
              <w:autoSpaceDN/>
              <w:adjustRightInd/>
              <w:snapToGrid/>
              <w:jc w:val="center"/>
              <w:textAlignment w:val="auto"/>
              <w:rPr>
                <w:rFonts w:ascii="Times New Roman" w:hAnsi="Times New Roman"/>
              </w:rPr>
            </w:pPr>
          </w:p>
        </w:tc>
      </w:tr>
      <w:tr w14:paraId="4D72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432" w:type="pct"/>
            <w:noWrap/>
            <w:vAlign w:val="center"/>
          </w:tcPr>
          <w:p w14:paraId="74B49299">
            <w:pPr>
              <w:kinsoku/>
              <w:autoSpaceDE/>
              <w:autoSpaceDN/>
              <w:adjustRightInd/>
              <w:snapToGrid/>
              <w:jc w:val="center"/>
              <w:textAlignment w:val="auto"/>
              <w:rPr>
                <w:rFonts w:ascii="Times New Roman" w:hAnsi="Times New Roman"/>
              </w:rPr>
            </w:pPr>
            <w:r>
              <w:rPr>
                <w:rFonts w:ascii="Times New Roman" w:hAnsi="Times New Roman"/>
              </w:rPr>
              <w:t>洞庭山碧螺春茶感官分级标准样品（特级一等）</w:t>
            </w:r>
          </w:p>
        </w:tc>
        <w:tc>
          <w:tcPr>
            <w:tcW w:w="485" w:type="pct"/>
            <w:noWrap/>
            <w:vAlign w:val="center"/>
          </w:tcPr>
          <w:p w14:paraId="51B92B5D">
            <w:pPr>
              <w:kinsoku/>
              <w:autoSpaceDE/>
              <w:autoSpaceDN/>
              <w:adjustRightInd/>
              <w:snapToGrid/>
              <w:jc w:val="center"/>
              <w:textAlignment w:val="auto"/>
              <w:rPr>
                <w:rFonts w:ascii="Times New Roman" w:hAnsi="Times New Roman"/>
              </w:rPr>
            </w:pPr>
            <w:r>
              <w:rPr>
                <w:rFonts w:ascii="Times New Roman" w:hAnsi="Times New Roman"/>
              </w:rPr>
              <w:t>茶叶</w:t>
            </w:r>
          </w:p>
        </w:tc>
        <w:tc>
          <w:tcPr>
            <w:tcW w:w="533" w:type="pct"/>
            <w:noWrap/>
            <w:vAlign w:val="center"/>
          </w:tcPr>
          <w:p w14:paraId="5BD031D4">
            <w:pPr>
              <w:kinsoku/>
              <w:autoSpaceDE/>
              <w:autoSpaceDN/>
              <w:adjustRightInd/>
              <w:snapToGrid/>
              <w:jc w:val="center"/>
              <w:textAlignment w:val="auto"/>
              <w:rPr>
                <w:rFonts w:ascii="Times New Roman" w:hAnsi="Times New Roman"/>
              </w:rPr>
            </w:pPr>
            <w:r>
              <w:rPr>
                <w:rFonts w:ascii="Times New Roman" w:hAnsi="Times New Roman"/>
              </w:rPr>
              <w:t>93.61</w:t>
            </w:r>
          </w:p>
        </w:tc>
        <w:tc>
          <w:tcPr>
            <w:tcW w:w="622" w:type="pct"/>
            <w:noWrap/>
            <w:vAlign w:val="center"/>
          </w:tcPr>
          <w:p w14:paraId="02CC080A">
            <w:pPr>
              <w:kinsoku/>
              <w:autoSpaceDE/>
              <w:autoSpaceDN/>
              <w:adjustRightInd/>
              <w:snapToGrid/>
              <w:jc w:val="center"/>
              <w:textAlignment w:val="auto"/>
              <w:rPr>
                <w:rFonts w:ascii="Times New Roman" w:hAnsi="Times New Roman"/>
              </w:rPr>
            </w:pPr>
            <w:r>
              <w:rPr>
                <w:rFonts w:ascii="Times New Roman" w:hAnsi="Times New Roman"/>
              </w:rPr>
              <w:t>0.16</w:t>
            </w:r>
          </w:p>
        </w:tc>
        <w:tc>
          <w:tcPr>
            <w:tcW w:w="446" w:type="pct"/>
            <w:noWrap/>
            <w:vAlign w:val="center"/>
          </w:tcPr>
          <w:p w14:paraId="32A4C311">
            <w:pPr>
              <w:kinsoku/>
              <w:autoSpaceDE/>
              <w:autoSpaceDN/>
              <w:adjustRightInd/>
              <w:snapToGrid/>
              <w:jc w:val="center"/>
              <w:textAlignment w:val="auto"/>
              <w:rPr>
                <w:rFonts w:ascii="Times New Roman" w:hAnsi="Times New Roman"/>
              </w:rPr>
            </w:pPr>
            <w:r>
              <w:rPr>
                <w:rFonts w:ascii="Times New Roman" w:hAnsi="Times New Roman"/>
              </w:rPr>
              <w:t>固态</w:t>
            </w:r>
          </w:p>
        </w:tc>
        <w:tc>
          <w:tcPr>
            <w:tcW w:w="479" w:type="pct"/>
            <w:noWrap/>
            <w:vAlign w:val="center"/>
          </w:tcPr>
          <w:p w14:paraId="328FE20A">
            <w:pPr>
              <w:kinsoku/>
              <w:autoSpaceDE/>
              <w:autoSpaceDN/>
              <w:adjustRightInd/>
              <w:snapToGrid/>
              <w:jc w:val="center"/>
              <w:textAlignment w:val="auto"/>
              <w:rPr>
                <w:rFonts w:ascii="Times New Roman" w:hAnsi="Times New Roman"/>
              </w:rPr>
            </w:pPr>
            <w:r>
              <w:rPr>
                <w:rFonts w:ascii="Times New Roman" w:hAnsi="Times New Roman"/>
              </w:rPr>
              <w:t>18个月</w:t>
            </w:r>
          </w:p>
        </w:tc>
      </w:tr>
    </w:tbl>
    <w:p w14:paraId="46A52A41">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A</w:t>
      </w:r>
      <w:r>
        <w:rPr>
          <w:rFonts w:ascii="Times New Roman" w:hAnsi="Times New Roman" w:eastAsia="黑体"/>
          <w:spacing w:val="-6"/>
        </w:rPr>
        <w:t>.9  文件要求</w:t>
      </w:r>
    </w:p>
    <w:p w14:paraId="22FB6296">
      <w:pPr>
        <w:widowControl/>
        <w:kinsoku w:val="0"/>
        <w:autoSpaceDE w:val="0"/>
        <w:autoSpaceDN w:val="0"/>
        <w:snapToGrid w:val="0"/>
        <w:spacing w:line="360" w:lineRule="auto"/>
        <w:ind w:firstLine="420" w:firstLineChars="200"/>
        <w:textAlignment w:val="baseline"/>
        <w:rPr>
          <w:rFonts w:ascii="Times New Roman" w:hAnsi="Times New Roman"/>
        </w:rPr>
      </w:pPr>
      <w:r>
        <w:rPr>
          <w:rFonts w:hint="eastAsia" w:ascii="Times New Roman" w:hAnsi="Times New Roman"/>
        </w:rPr>
        <w:t>洞庭山碧螺春茶感官分级标准样品证书内容包括：标准样品的一般描述、预期用途、正确使用方法、存储条件、均匀性检验和稳定性检验描述、获得特性标准值的使用方法、特性值、溯源性、有效期、标准样品的生产者、定值专家组和主要研制人员名称。</w:t>
      </w:r>
    </w:p>
    <w:p w14:paraId="63A68E15">
      <w:r>
        <w:rPr>
          <w:rFonts w:hint="eastAsia"/>
        </w:rPr>
        <w:br w:type="page"/>
      </w:r>
    </w:p>
    <w:p w14:paraId="2CF12A1D"/>
    <w:p w14:paraId="5713F371">
      <w:pPr>
        <w:pStyle w:val="14"/>
        <w:widowControl/>
        <w:kinsoku w:val="0"/>
        <w:autoSpaceDE w:val="0"/>
        <w:autoSpaceDN w:val="0"/>
        <w:snapToGrid w:val="0"/>
        <w:spacing w:line="360" w:lineRule="auto"/>
        <w:jc w:val="center"/>
        <w:textAlignment w:val="baseline"/>
        <w:rPr>
          <w:rFonts w:ascii="Times New Roman" w:hAnsi="Times New Roman" w:eastAsia="黑体"/>
        </w:rPr>
      </w:pPr>
      <w:r>
        <w:rPr>
          <w:rFonts w:ascii="Times New Roman" w:hAnsi="Times New Roman" w:eastAsia="黑体"/>
          <w:spacing w:val="-9"/>
          <w:position w:val="8"/>
        </w:rPr>
        <w:t xml:space="preserve">附  录  </w:t>
      </w:r>
      <w:r>
        <w:rPr>
          <w:rFonts w:hint="eastAsia" w:ascii="Times New Roman" w:hAnsi="Times New Roman" w:eastAsia="黑体"/>
          <w:spacing w:val="-9"/>
          <w:position w:val="8"/>
        </w:rPr>
        <w:t>B</w:t>
      </w:r>
    </w:p>
    <w:p w14:paraId="336F107E">
      <w:pPr>
        <w:widowControl/>
        <w:kinsoku w:val="0"/>
        <w:autoSpaceDE w:val="0"/>
        <w:autoSpaceDN w:val="0"/>
        <w:snapToGrid w:val="0"/>
        <w:spacing w:line="360" w:lineRule="auto"/>
        <w:jc w:val="center"/>
        <w:textAlignment w:val="baseline"/>
        <w:rPr>
          <w:rFonts w:ascii="Times New Roman" w:hAnsi="Times New Roman" w:eastAsia="黑体"/>
        </w:rPr>
      </w:pPr>
      <w:r>
        <w:rPr>
          <w:rFonts w:ascii="Times New Roman" w:hAnsi="Times New Roman" w:eastAsia="黑体"/>
          <w:spacing w:val="-2"/>
        </w:rPr>
        <w:t>(资料性)</w:t>
      </w:r>
    </w:p>
    <w:p w14:paraId="46D86E77">
      <w:pPr>
        <w:pStyle w:val="14"/>
        <w:widowControl/>
        <w:kinsoku w:val="0"/>
        <w:autoSpaceDE w:val="0"/>
        <w:autoSpaceDN w:val="0"/>
        <w:snapToGrid w:val="0"/>
        <w:spacing w:line="360" w:lineRule="auto"/>
        <w:jc w:val="center"/>
        <w:textAlignment w:val="baseline"/>
        <w:rPr>
          <w:rFonts w:ascii="Times New Roman" w:hAnsi="Times New Roman" w:eastAsia="黑体"/>
          <w:spacing w:val="-2"/>
        </w:rPr>
      </w:pPr>
      <w:r>
        <w:rPr>
          <w:rFonts w:ascii="Times New Roman" w:hAnsi="Times New Roman" w:eastAsia="黑体"/>
          <w:spacing w:val="-2"/>
        </w:rPr>
        <w:t>稻米碱消值标准样照的研制</w:t>
      </w:r>
    </w:p>
    <w:p w14:paraId="7812AA03">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rPr>
      </w:pPr>
      <w:r>
        <w:rPr>
          <w:rFonts w:hint="eastAsia" w:ascii="Times New Roman" w:hAnsi="Times New Roman" w:eastAsia="黑体"/>
          <w:spacing w:val="-6"/>
        </w:rPr>
        <w:t>B</w:t>
      </w:r>
      <w:r>
        <w:rPr>
          <w:rFonts w:ascii="Times New Roman" w:hAnsi="Times New Roman" w:eastAsia="黑体"/>
          <w:spacing w:val="-6"/>
        </w:rPr>
        <w:t>.1  介绍</w:t>
      </w:r>
    </w:p>
    <w:p w14:paraId="7F112CAC">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稻米淀粉糊化温度是一项重要的品质特性，对大米蒸煮品质和食用品质有一定影响。国外学者发现米粒在碱溶液中冷糊化所测量出的变化，与糊化温度密切相关，遂提出了碱消法，即用碱消值级别间接反映糊化温度的一种方法。我国测定稻米糊化温度的方法主要为碱消法，在1988年制定的农业行业标准《米质测定方法》（NY/T 83）已标明，该标准已在2017年修订为NY/T 83，在新版标准中，稻米糊化温度（碱消法）测定改为稻米碱消值测定。该标准对稻米的碱消值给出了详细的检验方法，并规定了不同等级的碱消值要求，但尚未制定稻米碱消值标准样照。</w:t>
      </w:r>
    </w:p>
    <w:p w14:paraId="50EBBECA">
      <w:pPr>
        <w:widowControl/>
        <w:kinsoku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本案例目的是制作一套能够正确反映稻米碱消值的标准样照，作为我国稻米碱消值检验的补充依据，对提高品质检验水平、保证产品质量等方面具有重要意义。</w:t>
      </w:r>
    </w:p>
    <w:p w14:paraId="7F033268">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w:t>
      </w:r>
      <w:r>
        <w:rPr>
          <w:rFonts w:hint="eastAsia" w:ascii="Times New Roman" w:hAnsi="Times New Roman" w:eastAsia="黑体"/>
          <w:spacing w:val="-6"/>
        </w:rPr>
        <w:t>2</w:t>
      </w:r>
      <w:r>
        <w:rPr>
          <w:rFonts w:ascii="Times New Roman" w:hAnsi="Times New Roman" w:eastAsia="黑体"/>
          <w:spacing w:val="-6"/>
        </w:rPr>
        <w:t xml:space="preserve">  </w:t>
      </w:r>
      <w:r>
        <w:rPr>
          <w:rFonts w:hint="eastAsia" w:ascii="Times New Roman" w:hAnsi="Times New Roman" w:eastAsia="黑体"/>
          <w:spacing w:val="-6"/>
        </w:rPr>
        <w:t>采样</w:t>
      </w:r>
    </w:p>
    <w:p w14:paraId="38B1B69E">
      <w:pPr>
        <w:pStyle w:val="14"/>
        <w:widowControl/>
        <w:kinsoku w:val="0"/>
        <w:autoSpaceDE w:val="0"/>
        <w:autoSpaceDN w:val="0"/>
        <w:snapToGrid w:val="0"/>
        <w:spacing w:line="360" w:lineRule="auto"/>
        <w:ind w:firstLine="420" w:firstLineChars="200"/>
        <w:textAlignment w:val="baseline"/>
        <w:outlineLvl w:val="1"/>
        <w:rPr>
          <w:spacing w:val="-6"/>
          <w:sz w:val="20"/>
          <w:szCs w:val="20"/>
        </w:rPr>
      </w:pPr>
      <w:r>
        <w:rPr>
          <w:rFonts w:ascii="Times New Roman" w:hAnsi="Times New Roman"/>
        </w:rPr>
        <w:t>根据检测稻米（谷）样品的碱消值结果，挑选出级别稳定（连续2～3年的碱消值级别结果一致）的品种，3级、5级、7级分别选取对应稻米品种作为试验材料。</w:t>
      </w:r>
    </w:p>
    <w:p w14:paraId="14B7A88A">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w:t>
      </w:r>
      <w:r>
        <w:rPr>
          <w:rFonts w:hint="eastAsia" w:ascii="Times New Roman" w:hAnsi="Times New Roman" w:eastAsia="黑体"/>
          <w:spacing w:val="-6"/>
        </w:rPr>
        <w:t>3</w:t>
      </w:r>
      <w:r>
        <w:rPr>
          <w:rFonts w:ascii="Times New Roman" w:hAnsi="Times New Roman" w:eastAsia="黑体"/>
          <w:spacing w:val="-6"/>
        </w:rPr>
        <w:t xml:space="preserve">  </w:t>
      </w:r>
      <w:r>
        <w:rPr>
          <w:rFonts w:hint="eastAsia" w:ascii="Times New Roman" w:hAnsi="Times New Roman" w:eastAsia="黑体"/>
          <w:spacing w:val="-6"/>
        </w:rPr>
        <w:t>加工制备</w:t>
      </w:r>
    </w:p>
    <w:p w14:paraId="64C96124">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.3.1 评定专家组的确定</w:t>
      </w:r>
    </w:p>
    <w:p w14:paraId="1CA085F6">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选择稻米碱消值检测经验丰富的专家组成标准样照评定专家组。</w:t>
      </w:r>
    </w:p>
    <w:p w14:paraId="553FE6B6">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 专家组人数不少于6名，专家组成员须从事稻米碱消值检验工作8年以上；</w:t>
      </w:r>
    </w:p>
    <w:p w14:paraId="0F82C4BD">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 评定专家组需要经过统一培训并通过评定稳定性测验。</w:t>
      </w:r>
    </w:p>
    <w:p w14:paraId="26C23A5D">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.3.2 米粒的测定与遴选</w:t>
      </w:r>
    </w:p>
    <w:p w14:paraId="0445C201">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根据 NY/T 83-2017《米质测定方法》中7.2的规定，从精米样品中随机取成熟饱满的完整精米放入5</w:t>
      </w:r>
      <w:r>
        <w:rPr>
          <w:rFonts w:hint="eastAsia" w:ascii="Times New Roman" w:hAnsi="Times New Roman"/>
          <w:spacing w:val="-6"/>
        </w:rPr>
        <w:t xml:space="preserve"> </w:t>
      </w:r>
      <w:r>
        <w:rPr>
          <w:rFonts w:ascii="Times New Roman" w:hAnsi="Times New Roman"/>
          <w:spacing w:val="-6"/>
        </w:rPr>
        <w:t>cm×5</w:t>
      </w:r>
      <w:r>
        <w:rPr>
          <w:rFonts w:hint="eastAsia" w:ascii="Times New Roman" w:hAnsi="Times New Roman"/>
          <w:spacing w:val="-6"/>
        </w:rPr>
        <w:t xml:space="preserve"> </w:t>
      </w:r>
      <w:r>
        <w:rPr>
          <w:rFonts w:ascii="Times New Roman" w:hAnsi="Times New Roman"/>
          <w:spacing w:val="-6"/>
        </w:rPr>
        <w:t>cm×2</w:t>
      </w:r>
      <w:r>
        <w:rPr>
          <w:rFonts w:hint="eastAsia" w:ascii="Times New Roman" w:hAnsi="Times New Roman"/>
          <w:spacing w:val="-6"/>
        </w:rPr>
        <w:t xml:space="preserve"> </w:t>
      </w:r>
      <w:r>
        <w:rPr>
          <w:rFonts w:ascii="Times New Roman" w:hAnsi="Times New Roman"/>
          <w:spacing w:val="-6"/>
        </w:rPr>
        <w:t>cm方盒内，每个样品取6粒米粒，分别放入6个方盒中，加入10.0</w:t>
      </w:r>
      <w:r>
        <w:rPr>
          <w:rFonts w:hint="eastAsia" w:ascii="Times New Roman" w:hAnsi="Times New Roman"/>
          <w:spacing w:val="-6"/>
        </w:rPr>
        <w:t xml:space="preserve"> </w:t>
      </w:r>
      <w:r>
        <w:rPr>
          <w:rFonts w:ascii="Times New Roman" w:hAnsi="Times New Roman"/>
          <w:spacing w:val="-6"/>
        </w:rPr>
        <w:t>mL 0.304</w:t>
      </w:r>
      <w:r>
        <w:rPr>
          <w:rFonts w:hint="eastAsia" w:ascii="Times New Roman" w:hAnsi="Times New Roman"/>
          <w:spacing w:val="-6"/>
        </w:rPr>
        <w:t xml:space="preserve"> </w:t>
      </w:r>
      <w:r>
        <w:rPr>
          <w:rFonts w:ascii="Times New Roman" w:hAnsi="Times New Roman"/>
          <w:spacing w:val="-6"/>
        </w:rPr>
        <w:t>mol/L氢氧化钾溶液，用玻璃棒将盒内米粒排布均匀，加盖。将方盒移至(30±2)℃的恒温箱内保温23</w:t>
      </w:r>
      <w:r>
        <w:rPr>
          <w:rFonts w:hint="eastAsia" w:ascii="Times New Roman" w:hAnsi="Times New Roman"/>
          <w:spacing w:val="-6"/>
        </w:rPr>
        <w:t xml:space="preserve"> </w:t>
      </w:r>
      <w:r>
        <w:rPr>
          <w:rFonts w:ascii="Times New Roman" w:hAnsi="Times New Roman"/>
          <w:spacing w:val="-6"/>
        </w:rPr>
        <w:t>h，平稳取出。</w:t>
      </w:r>
    </w:p>
    <w:p w14:paraId="03304708">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评定专家组逐个观察所有方盒中米粒胚乳的消解情况，按NY/T 83-2017中的碱消值分级标准（见表1）进行分级记录。每个米粒的碱消值结果是专家组评定的平均值。</w:t>
      </w:r>
    </w:p>
    <w:p w14:paraId="6E21A6E4">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经评定专家组成员讨论并一致确定，剔除异常值米粒，其余米粒（碱消即时状态）均用于图像采集。</w:t>
      </w:r>
    </w:p>
    <w:p w14:paraId="1C0C6062">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p>
    <w:p w14:paraId="21DA5B35">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p>
    <w:p w14:paraId="50E9BE4B">
      <w:pPr>
        <w:spacing w:before="156" w:beforeLines="50" w:line="360" w:lineRule="auto"/>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B.</w:t>
      </w:r>
      <w:r>
        <w:rPr>
          <w:rFonts w:ascii="Times New Roman" w:hAnsi="Times New Roman" w:eastAsia="黑体"/>
          <w:spacing w:val="-6"/>
        </w:rPr>
        <w:t>1 碱消值分级标准</w:t>
      </w:r>
    </w:p>
    <w:tbl>
      <w:tblPr>
        <w:tblStyle w:val="28"/>
        <w:tblW w:w="0" w:type="auto"/>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3686"/>
        <w:gridCol w:w="4521"/>
      </w:tblGrid>
      <w:tr w14:paraId="39E6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83" w:type="dxa"/>
            <w:vAlign w:val="center"/>
          </w:tcPr>
          <w:p w14:paraId="32362C5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级别</w:t>
            </w:r>
          </w:p>
        </w:tc>
        <w:tc>
          <w:tcPr>
            <w:tcW w:w="3686" w:type="dxa"/>
            <w:vAlign w:val="center"/>
          </w:tcPr>
          <w:p w14:paraId="63510C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分解度</w:t>
            </w:r>
          </w:p>
        </w:tc>
        <w:tc>
          <w:tcPr>
            <w:tcW w:w="4521" w:type="dxa"/>
            <w:vAlign w:val="center"/>
          </w:tcPr>
          <w:p w14:paraId="375102D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清晰度</w:t>
            </w:r>
          </w:p>
        </w:tc>
      </w:tr>
      <w:tr w14:paraId="0CD8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83" w:type="dxa"/>
            <w:vAlign w:val="center"/>
          </w:tcPr>
          <w:p w14:paraId="6A2186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3686" w:type="dxa"/>
            <w:vAlign w:val="center"/>
          </w:tcPr>
          <w:p w14:paraId="23425B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米粒无变化</w:t>
            </w:r>
          </w:p>
        </w:tc>
        <w:tc>
          <w:tcPr>
            <w:tcW w:w="4521" w:type="dxa"/>
            <w:vAlign w:val="center"/>
          </w:tcPr>
          <w:p w14:paraId="43B4DEE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米心白色</w:t>
            </w:r>
          </w:p>
        </w:tc>
      </w:tr>
      <w:tr w14:paraId="6180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83" w:type="dxa"/>
            <w:vAlign w:val="center"/>
          </w:tcPr>
          <w:p w14:paraId="5B4ABE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3686" w:type="dxa"/>
            <w:vAlign w:val="center"/>
          </w:tcPr>
          <w:p w14:paraId="5D68896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米粒膨胀</w:t>
            </w:r>
          </w:p>
        </w:tc>
        <w:tc>
          <w:tcPr>
            <w:tcW w:w="4521" w:type="dxa"/>
            <w:vAlign w:val="center"/>
          </w:tcPr>
          <w:p w14:paraId="0E6C081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米心白色，有粉末状环</w:t>
            </w:r>
          </w:p>
        </w:tc>
      </w:tr>
      <w:tr w14:paraId="53F8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83" w:type="dxa"/>
            <w:vAlign w:val="center"/>
          </w:tcPr>
          <w:p w14:paraId="09E28D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3686" w:type="dxa"/>
            <w:vAlign w:val="center"/>
          </w:tcPr>
          <w:p w14:paraId="5361624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米粒膨胀，环不完全或狭窄</w:t>
            </w:r>
          </w:p>
        </w:tc>
        <w:tc>
          <w:tcPr>
            <w:tcW w:w="4521" w:type="dxa"/>
            <w:vAlign w:val="center"/>
          </w:tcPr>
          <w:p w14:paraId="5A03845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米心白色，环棉絮状或云雾状</w:t>
            </w:r>
          </w:p>
        </w:tc>
      </w:tr>
      <w:tr w14:paraId="654C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83" w:type="dxa"/>
            <w:vAlign w:val="center"/>
          </w:tcPr>
          <w:p w14:paraId="739A800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3686" w:type="dxa"/>
            <w:vAlign w:val="center"/>
          </w:tcPr>
          <w:p w14:paraId="092E53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米粒膨大，环完整而宽</w:t>
            </w:r>
          </w:p>
        </w:tc>
        <w:tc>
          <w:tcPr>
            <w:tcW w:w="4521" w:type="dxa"/>
            <w:vAlign w:val="center"/>
          </w:tcPr>
          <w:p w14:paraId="5137D0A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米心棉白色，环云雾状</w:t>
            </w:r>
          </w:p>
        </w:tc>
      </w:tr>
      <w:tr w14:paraId="0E6C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83" w:type="dxa"/>
            <w:vAlign w:val="center"/>
          </w:tcPr>
          <w:p w14:paraId="4BC81B2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3686" w:type="dxa"/>
            <w:vAlign w:val="center"/>
          </w:tcPr>
          <w:p w14:paraId="56C7BD4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米粒开裂，环完整而宽</w:t>
            </w:r>
          </w:p>
        </w:tc>
        <w:tc>
          <w:tcPr>
            <w:tcW w:w="4521" w:type="dxa"/>
            <w:vAlign w:val="center"/>
          </w:tcPr>
          <w:p w14:paraId="47B5398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米心棉白色，环清晰</w:t>
            </w:r>
          </w:p>
        </w:tc>
      </w:tr>
      <w:tr w14:paraId="7135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83" w:type="dxa"/>
            <w:vAlign w:val="center"/>
          </w:tcPr>
          <w:p w14:paraId="6AC3B88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3686" w:type="dxa"/>
            <w:vAlign w:val="center"/>
          </w:tcPr>
          <w:p w14:paraId="718A7FD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米粒部分分散溶解，与环融合在一起</w:t>
            </w:r>
          </w:p>
        </w:tc>
        <w:tc>
          <w:tcPr>
            <w:tcW w:w="4521" w:type="dxa"/>
            <w:vAlign w:val="center"/>
          </w:tcPr>
          <w:p w14:paraId="695807F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米心云白色，环消失</w:t>
            </w:r>
          </w:p>
        </w:tc>
      </w:tr>
      <w:tr w14:paraId="2483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83" w:type="dxa"/>
            <w:vAlign w:val="center"/>
          </w:tcPr>
          <w:p w14:paraId="2E8174D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3686" w:type="dxa"/>
            <w:vAlign w:val="center"/>
          </w:tcPr>
          <w:p w14:paraId="376CF95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米粒完全分散</w:t>
            </w:r>
          </w:p>
        </w:tc>
        <w:tc>
          <w:tcPr>
            <w:tcW w:w="4521" w:type="dxa"/>
            <w:vAlign w:val="center"/>
          </w:tcPr>
          <w:p w14:paraId="6AA7054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米心与环均消失</w:t>
            </w:r>
          </w:p>
        </w:tc>
      </w:tr>
    </w:tbl>
    <w:p w14:paraId="5D566A24">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.3.3 图像采集</w:t>
      </w:r>
    </w:p>
    <w:p w14:paraId="5732C99C">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选用数码显微镜获取图像技术。具体参数为：像素1.3MP；分辨率：1280×1024；帧速：最大30</w:t>
      </w:r>
      <w:r>
        <w:rPr>
          <w:rFonts w:hint="eastAsia" w:ascii="Times New Roman" w:hAnsi="Times New Roman"/>
          <w:spacing w:val="-6"/>
        </w:rPr>
        <w:t xml:space="preserve"> </w:t>
      </w:r>
      <w:r>
        <w:rPr>
          <w:rFonts w:ascii="Times New Roman" w:hAnsi="Times New Roman"/>
          <w:spacing w:val="-6"/>
        </w:rPr>
        <w:t>fps。将装有米粒的方盒置于数码显微镜镜头正下方，在黑色背景下拍摄米粒。</w:t>
      </w:r>
    </w:p>
    <w:p w14:paraId="526D3A0A">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.3.4 标准样照的选定与制作</w:t>
      </w:r>
    </w:p>
    <w:p w14:paraId="43587FB4">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首先，将所有米粒照片进行初筛，剔除模糊不清、背景有杂点、亮度不够的。接着，组织评定专家组进行标准样照的挑选。对照NY/T 83-2017中的碱消值分级标准，从中选出最具代表性的3级、5级、7级照片各3张作为一套标准样照。</w:t>
      </w:r>
    </w:p>
    <w:p w14:paraId="3527EFB6">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将上述选出的标准样照经图像处理软件编辑加工，将同一级别的3张合并，分别标记为3级-1、3级-2、3级-3、5级-1、5级-2、5级-3、7级-1、7级-2、7级-3。采用激光打印机（分辨率1200×1200</w:t>
      </w:r>
      <w:r>
        <w:rPr>
          <w:rFonts w:hint="eastAsia" w:ascii="Times New Roman" w:hAnsi="Times New Roman"/>
          <w:spacing w:val="-6"/>
        </w:rPr>
        <w:t xml:space="preserve"> </w:t>
      </w:r>
      <w:r>
        <w:rPr>
          <w:rFonts w:ascii="Times New Roman" w:hAnsi="Times New Roman"/>
          <w:spacing w:val="-6"/>
        </w:rPr>
        <w:t>dpi）打印制成标准样照实物，并采用塑封膜进行塑封。</w:t>
      </w:r>
    </w:p>
    <w:p w14:paraId="5823F25B">
      <w:pPr>
        <w:pStyle w:val="14"/>
        <w:widowControl/>
        <w:kinsoku w:val="0"/>
        <w:autoSpaceDE w:val="0"/>
        <w:autoSpaceDN w:val="0"/>
        <w:snapToGrid w:val="0"/>
        <w:spacing w:before="156" w:beforeLines="50" w:line="360" w:lineRule="auto"/>
        <w:textAlignment w:val="baseline"/>
        <w:outlineLvl w:val="1"/>
        <w:rPr>
          <w:rFonts w:ascii="黑体" w:hAnsi="黑体" w:eastAsia="黑体" w:cs="黑体"/>
          <w:sz w:val="20"/>
          <w:szCs w:val="20"/>
        </w:rPr>
      </w:pPr>
      <w:r>
        <w:rPr>
          <w:rFonts w:hint="eastAsia" w:ascii="Times New Roman" w:hAnsi="Times New Roman" w:eastAsia="黑体"/>
          <w:spacing w:val="-6"/>
        </w:rPr>
        <w:t>B</w:t>
      </w:r>
      <w:r>
        <w:rPr>
          <w:rFonts w:ascii="Times New Roman" w:hAnsi="Times New Roman" w:eastAsia="黑体"/>
          <w:spacing w:val="-6"/>
        </w:rPr>
        <w:t>.</w:t>
      </w:r>
      <w:r>
        <w:rPr>
          <w:rFonts w:hint="eastAsia" w:ascii="Times New Roman" w:hAnsi="Times New Roman" w:eastAsia="黑体"/>
          <w:spacing w:val="-6"/>
        </w:rPr>
        <w:t>4</w:t>
      </w:r>
      <w:r>
        <w:rPr>
          <w:rFonts w:ascii="Times New Roman" w:hAnsi="Times New Roman" w:eastAsia="黑体"/>
          <w:spacing w:val="-6"/>
        </w:rPr>
        <w:t xml:space="preserve">  </w:t>
      </w:r>
      <w:r>
        <w:rPr>
          <w:rFonts w:hint="eastAsia" w:ascii="Times New Roman" w:hAnsi="Times New Roman" w:eastAsia="黑体"/>
          <w:spacing w:val="-6"/>
        </w:rPr>
        <w:t>分装及储存</w:t>
      </w:r>
    </w:p>
    <w:p w14:paraId="761573B5">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每一套碱消值标准样照包含3级、5级、7级即稻米碱消值标准样照-3级、稻米碱消值标准样照-5级和稻米碱消值标准样照-7级（规格：21</w:t>
      </w:r>
      <w:r>
        <w:rPr>
          <w:rFonts w:hint="eastAsia" w:ascii="Times New Roman" w:hAnsi="Times New Roman"/>
          <w:spacing w:val="-6"/>
        </w:rPr>
        <w:t xml:space="preserve"> </w:t>
      </w:r>
      <w:r>
        <w:rPr>
          <w:rFonts w:ascii="Times New Roman" w:hAnsi="Times New Roman"/>
          <w:spacing w:val="-6"/>
        </w:rPr>
        <w:t>cm × 7</w:t>
      </w:r>
      <w:r>
        <w:rPr>
          <w:rFonts w:hint="eastAsia" w:ascii="Times New Roman" w:hAnsi="Times New Roman"/>
          <w:spacing w:val="-6"/>
        </w:rPr>
        <w:t xml:space="preserve"> </w:t>
      </w:r>
      <w:r>
        <w:rPr>
          <w:rFonts w:ascii="Times New Roman" w:hAnsi="Times New Roman"/>
          <w:spacing w:val="-6"/>
        </w:rPr>
        <w:t>cm）各1张。</w:t>
      </w:r>
    </w:p>
    <w:p w14:paraId="3004E11D">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在专用黑色卡纸包装盒中置于避光保存。运输时避免阳光直射、雨水浸淋及防止折叠。</w:t>
      </w:r>
    </w:p>
    <w:p w14:paraId="463CE0D7">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w:t>
      </w:r>
      <w:r>
        <w:rPr>
          <w:rFonts w:hint="eastAsia" w:ascii="Times New Roman" w:hAnsi="Times New Roman" w:eastAsia="黑体"/>
          <w:spacing w:val="-6"/>
        </w:rPr>
        <w:t>5</w:t>
      </w:r>
      <w:r>
        <w:rPr>
          <w:rFonts w:ascii="Times New Roman" w:hAnsi="Times New Roman" w:eastAsia="黑体"/>
          <w:spacing w:val="-6"/>
        </w:rPr>
        <w:t xml:space="preserve">  </w:t>
      </w:r>
      <w:r>
        <w:rPr>
          <w:rFonts w:hint="eastAsia" w:ascii="Times New Roman" w:hAnsi="Times New Roman" w:eastAsia="黑体"/>
          <w:spacing w:val="-6"/>
        </w:rPr>
        <w:t>均匀性</w:t>
      </w:r>
    </w:p>
    <w:p w14:paraId="288A60A3">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从100套样照即3级、5级、7级各100张，每个级别按制作顺序分别选取第1、11、21、31、41、51、61、71、81、91张，共30张样照，用精密色差仪进行色差分析。色差仪的技术参数如下：照明受光系统为8/d，含镜面反射光；测量直径为8</w:t>
      </w:r>
      <w:r>
        <w:rPr>
          <w:rFonts w:hint="eastAsia" w:ascii="Times New Roman" w:hAnsi="Times New Roman"/>
          <w:spacing w:val="-6"/>
        </w:rPr>
        <w:t xml:space="preserve"> </w:t>
      </w:r>
      <w:r>
        <w:rPr>
          <w:rFonts w:ascii="Times New Roman" w:hAnsi="Times New Roman"/>
          <w:spacing w:val="-6"/>
        </w:rPr>
        <w:t>mm；测量范围为L*: 1-100；标准偏差△E*ab*为0.08以内。色差仪的校准分为黑校准和白校准两部分，黑校准是对配套黑腔进行仪器自动校准，白校准是对白板进行仪器自动校准，黑白校准均通过才能进入样品测量模式。每张样照上选取4个点，并且每张样照的4个点基本在相同的位置，用色差仪对4个点进行色差分析。每级选取的10张样照共40个点的数据，分别进行均匀性计算，结果列于表2～表4。</w:t>
      </w:r>
    </w:p>
    <w:p w14:paraId="5FAA2075">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B.</w:t>
      </w:r>
      <w:r>
        <w:rPr>
          <w:rFonts w:ascii="Times New Roman" w:hAnsi="Times New Roman" w:eastAsia="黑体"/>
          <w:spacing w:val="-6"/>
        </w:rPr>
        <w:t>2   3级标准样照均匀性的方差分析表</w:t>
      </w:r>
    </w:p>
    <w:tbl>
      <w:tblPr>
        <w:tblStyle w:val="28"/>
        <w:tblW w:w="4854" w:type="pct"/>
        <w:jc w:val="center"/>
        <w:tblLayout w:type="autofit"/>
        <w:tblCellMar>
          <w:top w:w="0" w:type="dxa"/>
          <w:left w:w="108" w:type="dxa"/>
          <w:bottom w:w="0" w:type="dxa"/>
          <w:right w:w="108" w:type="dxa"/>
        </w:tblCellMar>
      </w:tblPr>
      <w:tblGrid>
        <w:gridCol w:w="1912"/>
        <w:gridCol w:w="1913"/>
        <w:gridCol w:w="1913"/>
        <w:gridCol w:w="1913"/>
        <w:gridCol w:w="1640"/>
      </w:tblGrid>
      <w:tr w14:paraId="66502B05">
        <w:tblPrEx>
          <w:tblCellMar>
            <w:top w:w="0" w:type="dxa"/>
            <w:left w:w="108" w:type="dxa"/>
            <w:bottom w:w="0" w:type="dxa"/>
            <w:right w:w="108" w:type="dxa"/>
          </w:tblCellMar>
        </w:tblPrEx>
        <w:trPr>
          <w:trHeight w:val="408" w:hRule="atLeast"/>
          <w:jc w:val="center"/>
        </w:trPr>
        <w:tc>
          <w:tcPr>
            <w:tcW w:w="1029" w:type="pct"/>
            <w:tcBorders>
              <w:top w:val="single" w:color="auto" w:sz="4" w:space="0"/>
              <w:left w:val="single" w:color="auto" w:sz="4" w:space="0"/>
              <w:bottom w:val="single" w:color="auto" w:sz="4" w:space="0"/>
              <w:right w:val="single" w:color="auto" w:sz="4" w:space="0"/>
            </w:tcBorders>
            <w:noWrap/>
            <w:vAlign w:val="center"/>
          </w:tcPr>
          <w:p w14:paraId="1CAC21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变差源</w:t>
            </w:r>
          </w:p>
        </w:tc>
        <w:tc>
          <w:tcPr>
            <w:tcW w:w="1029" w:type="pct"/>
            <w:tcBorders>
              <w:top w:val="single" w:color="auto" w:sz="4" w:space="0"/>
              <w:left w:val="nil"/>
              <w:bottom w:val="single" w:color="auto" w:sz="4" w:space="0"/>
              <w:right w:val="single" w:color="auto" w:sz="4" w:space="0"/>
            </w:tcBorders>
            <w:noWrap/>
            <w:vAlign w:val="center"/>
          </w:tcPr>
          <w:p w14:paraId="1280267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SS</w:t>
            </w:r>
          </w:p>
        </w:tc>
        <w:tc>
          <w:tcPr>
            <w:tcW w:w="1029" w:type="pct"/>
            <w:tcBorders>
              <w:top w:val="single" w:color="auto" w:sz="4" w:space="0"/>
              <w:left w:val="nil"/>
              <w:bottom w:val="single" w:color="auto" w:sz="4" w:space="0"/>
              <w:right w:val="single" w:color="auto" w:sz="4" w:space="0"/>
            </w:tcBorders>
            <w:noWrap/>
            <w:vAlign w:val="center"/>
          </w:tcPr>
          <w:p w14:paraId="59515D0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自由度</w:t>
            </w:r>
          </w:p>
        </w:tc>
        <w:tc>
          <w:tcPr>
            <w:tcW w:w="1029" w:type="pct"/>
            <w:tcBorders>
              <w:top w:val="single" w:color="auto" w:sz="4" w:space="0"/>
              <w:left w:val="nil"/>
              <w:bottom w:val="single" w:color="auto" w:sz="4" w:space="0"/>
              <w:right w:val="single" w:color="auto" w:sz="4" w:space="0"/>
            </w:tcBorders>
            <w:noWrap/>
            <w:vAlign w:val="center"/>
          </w:tcPr>
          <w:p w14:paraId="216ACAA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MS</w:t>
            </w:r>
          </w:p>
        </w:tc>
        <w:tc>
          <w:tcPr>
            <w:tcW w:w="882" w:type="pct"/>
            <w:tcBorders>
              <w:top w:val="single" w:color="auto" w:sz="4" w:space="0"/>
              <w:left w:val="nil"/>
              <w:bottom w:val="single" w:color="auto" w:sz="4" w:space="0"/>
              <w:right w:val="single" w:color="auto" w:sz="4" w:space="0"/>
            </w:tcBorders>
            <w:noWrap/>
            <w:vAlign w:val="center"/>
          </w:tcPr>
          <w:p w14:paraId="18ED653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F值</w:t>
            </w:r>
          </w:p>
        </w:tc>
      </w:tr>
      <w:tr w14:paraId="71467F77">
        <w:tblPrEx>
          <w:tblCellMar>
            <w:top w:w="0" w:type="dxa"/>
            <w:left w:w="108" w:type="dxa"/>
            <w:bottom w:w="0" w:type="dxa"/>
            <w:right w:w="108" w:type="dxa"/>
          </w:tblCellMar>
        </w:tblPrEx>
        <w:trPr>
          <w:trHeight w:val="408" w:hRule="atLeast"/>
          <w:jc w:val="center"/>
        </w:trPr>
        <w:tc>
          <w:tcPr>
            <w:tcW w:w="1029" w:type="pct"/>
            <w:tcBorders>
              <w:top w:val="nil"/>
              <w:left w:val="single" w:color="auto" w:sz="4" w:space="0"/>
              <w:bottom w:val="single" w:color="auto" w:sz="4" w:space="0"/>
              <w:right w:val="single" w:color="auto" w:sz="4" w:space="0"/>
            </w:tcBorders>
            <w:noWrap/>
            <w:vAlign w:val="center"/>
          </w:tcPr>
          <w:p w14:paraId="2C8F42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组间</w:t>
            </w:r>
          </w:p>
        </w:tc>
        <w:tc>
          <w:tcPr>
            <w:tcW w:w="1029" w:type="pct"/>
            <w:tcBorders>
              <w:top w:val="nil"/>
              <w:left w:val="nil"/>
              <w:bottom w:val="single" w:color="auto" w:sz="4" w:space="0"/>
              <w:right w:val="single" w:color="auto" w:sz="4" w:space="0"/>
            </w:tcBorders>
            <w:noWrap/>
            <w:vAlign w:val="center"/>
          </w:tcPr>
          <w:p w14:paraId="0EF0260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0.0064</w:t>
            </w:r>
          </w:p>
        </w:tc>
        <w:tc>
          <w:tcPr>
            <w:tcW w:w="1029" w:type="pct"/>
            <w:tcBorders>
              <w:top w:val="nil"/>
              <w:left w:val="nil"/>
              <w:bottom w:val="single" w:color="auto" w:sz="4" w:space="0"/>
              <w:right w:val="single" w:color="auto" w:sz="4" w:space="0"/>
            </w:tcBorders>
            <w:noWrap/>
            <w:vAlign w:val="center"/>
          </w:tcPr>
          <w:p w14:paraId="2DEF6C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029" w:type="pct"/>
            <w:tcBorders>
              <w:top w:val="nil"/>
              <w:left w:val="nil"/>
              <w:bottom w:val="single" w:color="auto" w:sz="4" w:space="0"/>
              <w:right w:val="single" w:color="auto" w:sz="4" w:space="0"/>
            </w:tcBorders>
            <w:noWrap/>
            <w:vAlign w:val="center"/>
          </w:tcPr>
          <w:p w14:paraId="552901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0.000712</w:t>
            </w:r>
          </w:p>
        </w:tc>
        <w:tc>
          <w:tcPr>
            <w:tcW w:w="882" w:type="pct"/>
            <w:tcBorders>
              <w:top w:val="nil"/>
              <w:left w:val="nil"/>
              <w:bottom w:val="single" w:color="auto" w:sz="4" w:space="0"/>
              <w:right w:val="single" w:color="auto" w:sz="4" w:space="0"/>
            </w:tcBorders>
            <w:noWrap/>
            <w:vAlign w:val="center"/>
          </w:tcPr>
          <w:p w14:paraId="2119AE7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0.73</w:t>
            </w:r>
          </w:p>
        </w:tc>
      </w:tr>
      <w:tr w14:paraId="4B8FE44C">
        <w:tblPrEx>
          <w:tblCellMar>
            <w:top w:w="0" w:type="dxa"/>
            <w:left w:w="108" w:type="dxa"/>
            <w:bottom w:w="0" w:type="dxa"/>
            <w:right w:w="108" w:type="dxa"/>
          </w:tblCellMar>
        </w:tblPrEx>
        <w:trPr>
          <w:trHeight w:val="408" w:hRule="atLeast"/>
          <w:jc w:val="center"/>
        </w:trPr>
        <w:tc>
          <w:tcPr>
            <w:tcW w:w="1029" w:type="pct"/>
            <w:tcBorders>
              <w:top w:val="nil"/>
              <w:left w:val="single" w:color="auto" w:sz="4" w:space="0"/>
              <w:bottom w:val="single" w:color="auto" w:sz="4" w:space="0"/>
              <w:right w:val="single" w:color="auto" w:sz="4" w:space="0"/>
            </w:tcBorders>
            <w:noWrap/>
            <w:vAlign w:val="center"/>
          </w:tcPr>
          <w:p w14:paraId="3894E49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组内</w:t>
            </w:r>
          </w:p>
        </w:tc>
        <w:tc>
          <w:tcPr>
            <w:tcW w:w="1029" w:type="pct"/>
            <w:tcBorders>
              <w:top w:val="nil"/>
              <w:left w:val="nil"/>
              <w:bottom w:val="single" w:color="auto" w:sz="4" w:space="0"/>
              <w:right w:val="single" w:color="auto" w:sz="4" w:space="0"/>
            </w:tcBorders>
            <w:noWrap/>
            <w:vAlign w:val="center"/>
          </w:tcPr>
          <w:p w14:paraId="4311CE6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0.0293</w:t>
            </w:r>
          </w:p>
        </w:tc>
        <w:tc>
          <w:tcPr>
            <w:tcW w:w="1029" w:type="pct"/>
            <w:tcBorders>
              <w:top w:val="nil"/>
              <w:left w:val="nil"/>
              <w:bottom w:val="single" w:color="auto" w:sz="4" w:space="0"/>
              <w:right w:val="single" w:color="auto" w:sz="4" w:space="0"/>
            </w:tcBorders>
            <w:noWrap/>
            <w:vAlign w:val="center"/>
          </w:tcPr>
          <w:p w14:paraId="1D28B1B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30</w:t>
            </w:r>
          </w:p>
        </w:tc>
        <w:tc>
          <w:tcPr>
            <w:tcW w:w="1029" w:type="pct"/>
            <w:tcBorders>
              <w:top w:val="nil"/>
              <w:left w:val="nil"/>
              <w:bottom w:val="single" w:color="auto" w:sz="4" w:space="0"/>
              <w:right w:val="single" w:color="auto" w:sz="4" w:space="0"/>
            </w:tcBorders>
            <w:noWrap/>
            <w:vAlign w:val="center"/>
          </w:tcPr>
          <w:p w14:paraId="3D379BD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0.000977</w:t>
            </w:r>
          </w:p>
        </w:tc>
        <w:tc>
          <w:tcPr>
            <w:tcW w:w="882" w:type="pct"/>
            <w:tcBorders>
              <w:top w:val="nil"/>
              <w:left w:val="nil"/>
              <w:bottom w:val="single" w:color="auto" w:sz="4" w:space="0"/>
              <w:right w:val="single" w:color="auto" w:sz="4" w:space="0"/>
            </w:tcBorders>
            <w:noWrap/>
            <w:vAlign w:val="center"/>
          </w:tcPr>
          <w:p w14:paraId="196179F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w:t>
            </w:r>
          </w:p>
        </w:tc>
      </w:tr>
      <w:tr w14:paraId="10254D55">
        <w:tblPrEx>
          <w:tblCellMar>
            <w:top w:w="0" w:type="dxa"/>
            <w:left w:w="108" w:type="dxa"/>
            <w:bottom w:w="0" w:type="dxa"/>
            <w:right w:w="108" w:type="dxa"/>
          </w:tblCellMar>
        </w:tblPrEx>
        <w:trPr>
          <w:trHeight w:val="408" w:hRule="atLeast"/>
          <w:jc w:val="center"/>
        </w:trPr>
        <w:tc>
          <w:tcPr>
            <w:tcW w:w="1029" w:type="pct"/>
            <w:tcBorders>
              <w:top w:val="nil"/>
              <w:left w:val="single" w:color="auto" w:sz="4" w:space="0"/>
              <w:bottom w:val="single" w:color="auto" w:sz="4" w:space="0"/>
              <w:right w:val="single" w:color="auto" w:sz="4" w:space="0"/>
            </w:tcBorders>
            <w:noWrap/>
            <w:vAlign w:val="center"/>
          </w:tcPr>
          <w:p w14:paraId="6A3617F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总和</w:t>
            </w:r>
          </w:p>
        </w:tc>
        <w:tc>
          <w:tcPr>
            <w:tcW w:w="1029" w:type="pct"/>
            <w:tcBorders>
              <w:top w:val="nil"/>
              <w:left w:val="nil"/>
              <w:bottom w:val="single" w:color="auto" w:sz="4" w:space="0"/>
              <w:right w:val="single" w:color="auto" w:sz="4" w:space="0"/>
            </w:tcBorders>
            <w:noWrap/>
            <w:vAlign w:val="center"/>
          </w:tcPr>
          <w:p w14:paraId="38424F3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0.0357</w:t>
            </w:r>
          </w:p>
        </w:tc>
        <w:tc>
          <w:tcPr>
            <w:tcW w:w="1029" w:type="pct"/>
            <w:tcBorders>
              <w:top w:val="nil"/>
              <w:left w:val="nil"/>
              <w:bottom w:val="single" w:color="auto" w:sz="4" w:space="0"/>
              <w:right w:val="single" w:color="auto" w:sz="4" w:space="0"/>
            </w:tcBorders>
            <w:noWrap/>
            <w:vAlign w:val="center"/>
          </w:tcPr>
          <w:p w14:paraId="62E523A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39</w:t>
            </w:r>
          </w:p>
        </w:tc>
        <w:tc>
          <w:tcPr>
            <w:tcW w:w="1029" w:type="pct"/>
            <w:tcBorders>
              <w:top w:val="nil"/>
              <w:left w:val="nil"/>
              <w:bottom w:val="single" w:color="auto" w:sz="4" w:space="0"/>
              <w:right w:val="single" w:color="auto" w:sz="4" w:space="0"/>
            </w:tcBorders>
            <w:noWrap/>
            <w:vAlign w:val="center"/>
          </w:tcPr>
          <w:p w14:paraId="0B95AC7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w:t>
            </w:r>
          </w:p>
        </w:tc>
        <w:tc>
          <w:tcPr>
            <w:tcW w:w="882" w:type="pct"/>
            <w:tcBorders>
              <w:top w:val="nil"/>
              <w:left w:val="nil"/>
              <w:bottom w:val="single" w:color="auto" w:sz="4" w:space="0"/>
              <w:right w:val="single" w:color="auto" w:sz="4" w:space="0"/>
            </w:tcBorders>
            <w:noWrap/>
            <w:vAlign w:val="center"/>
          </w:tcPr>
          <w:p w14:paraId="080703B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w:t>
            </w:r>
          </w:p>
        </w:tc>
      </w:tr>
    </w:tbl>
    <w:p w14:paraId="021479EB">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B.</w:t>
      </w:r>
      <w:r>
        <w:rPr>
          <w:rFonts w:ascii="Times New Roman" w:hAnsi="Times New Roman" w:eastAsia="黑体"/>
          <w:spacing w:val="-6"/>
        </w:rPr>
        <w:t>3   5级标准样照均匀性的方差分析表</w:t>
      </w:r>
    </w:p>
    <w:tbl>
      <w:tblPr>
        <w:tblStyle w:val="28"/>
        <w:tblW w:w="4867" w:type="pct"/>
        <w:jc w:val="center"/>
        <w:tblLayout w:type="autofit"/>
        <w:tblCellMar>
          <w:top w:w="0" w:type="dxa"/>
          <w:left w:w="108" w:type="dxa"/>
          <w:bottom w:w="0" w:type="dxa"/>
          <w:right w:w="108" w:type="dxa"/>
        </w:tblCellMar>
      </w:tblPr>
      <w:tblGrid>
        <w:gridCol w:w="1822"/>
        <w:gridCol w:w="1913"/>
        <w:gridCol w:w="1913"/>
        <w:gridCol w:w="1913"/>
        <w:gridCol w:w="1754"/>
      </w:tblGrid>
      <w:tr w14:paraId="6B205284">
        <w:tblPrEx>
          <w:tblCellMar>
            <w:top w:w="0" w:type="dxa"/>
            <w:left w:w="108" w:type="dxa"/>
            <w:bottom w:w="0" w:type="dxa"/>
            <w:right w:w="108" w:type="dxa"/>
          </w:tblCellMar>
        </w:tblPrEx>
        <w:trPr>
          <w:trHeight w:val="408" w:hRule="atLeast"/>
          <w:jc w:val="center"/>
        </w:trPr>
        <w:tc>
          <w:tcPr>
            <w:tcW w:w="978" w:type="pct"/>
            <w:tcBorders>
              <w:top w:val="single" w:color="auto" w:sz="4" w:space="0"/>
              <w:left w:val="single" w:color="auto" w:sz="4" w:space="0"/>
              <w:bottom w:val="single" w:color="auto" w:sz="4" w:space="0"/>
              <w:right w:val="single" w:color="auto" w:sz="4" w:space="0"/>
            </w:tcBorders>
            <w:noWrap/>
            <w:vAlign w:val="center"/>
          </w:tcPr>
          <w:p w14:paraId="6695DD2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变差源</w:t>
            </w:r>
          </w:p>
        </w:tc>
        <w:tc>
          <w:tcPr>
            <w:tcW w:w="1026" w:type="pct"/>
            <w:tcBorders>
              <w:top w:val="single" w:color="auto" w:sz="4" w:space="0"/>
              <w:left w:val="nil"/>
              <w:bottom w:val="single" w:color="auto" w:sz="4" w:space="0"/>
              <w:right w:val="single" w:color="auto" w:sz="4" w:space="0"/>
            </w:tcBorders>
            <w:noWrap/>
            <w:vAlign w:val="center"/>
          </w:tcPr>
          <w:p w14:paraId="1E51DE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SS</w:t>
            </w:r>
          </w:p>
        </w:tc>
        <w:tc>
          <w:tcPr>
            <w:tcW w:w="1026" w:type="pct"/>
            <w:tcBorders>
              <w:top w:val="single" w:color="auto" w:sz="4" w:space="0"/>
              <w:left w:val="nil"/>
              <w:bottom w:val="single" w:color="auto" w:sz="4" w:space="0"/>
              <w:right w:val="single" w:color="auto" w:sz="4" w:space="0"/>
            </w:tcBorders>
            <w:noWrap/>
            <w:vAlign w:val="center"/>
          </w:tcPr>
          <w:p w14:paraId="45C4B63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自由度</w:t>
            </w:r>
          </w:p>
        </w:tc>
        <w:tc>
          <w:tcPr>
            <w:tcW w:w="1026" w:type="pct"/>
            <w:tcBorders>
              <w:top w:val="single" w:color="auto" w:sz="4" w:space="0"/>
              <w:left w:val="nil"/>
              <w:bottom w:val="single" w:color="auto" w:sz="4" w:space="0"/>
              <w:right w:val="single" w:color="auto" w:sz="4" w:space="0"/>
            </w:tcBorders>
            <w:noWrap/>
            <w:vAlign w:val="center"/>
          </w:tcPr>
          <w:p w14:paraId="268E53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MS</w:t>
            </w:r>
          </w:p>
        </w:tc>
        <w:tc>
          <w:tcPr>
            <w:tcW w:w="941" w:type="pct"/>
            <w:tcBorders>
              <w:top w:val="single" w:color="auto" w:sz="4" w:space="0"/>
              <w:left w:val="nil"/>
              <w:bottom w:val="single" w:color="auto" w:sz="4" w:space="0"/>
              <w:right w:val="single" w:color="auto" w:sz="4" w:space="0"/>
            </w:tcBorders>
            <w:noWrap/>
            <w:vAlign w:val="center"/>
          </w:tcPr>
          <w:p w14:paraId="3D3311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F值</w:t>
            </w:r>
          </w:p>
        </w:tc>
      </w:tr>
      <w:tr w14:paraId="7DA05305">
        <w:tblPrEx>
          <w:tblCellMar>
            <w:top w:w="0" w:type="dxa"/>
            <w:left w:w="108" w:type="dxa"/>
            <w:bottom w:w="0" w:type="dxa"/>
            <w:right w:w="108" w:type="dxa"/>
          </w:tblCellMar>
        </w:tblPrEx>
        <w:trPr>
          <w:trHeight w:val="408" w:hRule="atLeast"/>
          <w:jc w:val="center"/>
        </w:trPr>
        <w:tc>
          <w:tcPr>
            <w:tcW w:w="978" w:type="pct"/>
            <w:tcBorders>
              <w:top w:val="nil"/>
              <w:left w:val="single" w:color="auto" w:sz="4" w:space="0"/>
              <w:bottom w:val="single" w:color="auto" w:sz="4" w:space="0"/>
              <w:right w:val="single" w:color="auto" w:sz="4" w:space="0"/>
            </w:tcBorders>
            <w:noWrap/>
            <w:vAlign w:val="center"/>
          </w:tcPr>
          <w:p w14:paraId="520A752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组间</w:t>
            </w:r>
          </w:p>
        </w:tc>
        <w:tc>
          <w:tcPr>
            <w:tcW w:w="1026" w:type="pct"/>
            <w:tcBorders>
              <w:top w:val="nil"/>
              <w:left w:val="nil"/>
              <w:bottom w:val="single" w:color="auto" w:sz="4" w:space="0"/>
              <w:right w:val="single" w:color="auto" w:sz="4" w:space="0"/>
            </w:tcBorders>
            <w:noWrap/>
            <w:vAlign w:val="center"/>
          </w:tcPr>
          <w:p w14:paraId="763D6C4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0.0039</w:t>
            </w:r>
          </w:p>
        </w:tc>
        <w:tc>
          <w:tcPr>
            <w:tcW w:w="1026" w:type="pct"/>
            <w:tcBorders>
              <w:top w:val="nil"/>
              <w:left w:val="nil"/>
              <w:bottom w:val="single" w:color="auto" w:sz="4" w:space="0"/>
              <w:right w:val="single" w:color="auto" w:sz="4" w:space="0"/>
            </w:tcBorders>
            <w:noWrap/>
            <w:vAlign w:val="center"/>
          </w:tcPr>
          <w:p w14:paraId="2D6EC2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026" w:type="pct"/>
            <w:tcBorders>
              <w:top w:val="nil"/>
              <w:left w:val="nil"/>
              <w:bottom w:val="single" w:color="auto" w:sz="4" w:space="0"/>
              <w:right w:val="single" w:color="auto" w:sz="4" w:space="0"/>
            </w:tcBorders>
            <w:noWrap/>
            <w:vAlign w:val="center"/>
          </w:tcPr>
          <w:p w14:paraId="0D2C181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0.000428</w:t>
            </w:r>
          </w:p>
        </w:tc>
        <w:tc>
          <w:tcPr>
            <w:tcW w:w="941" w:type="pct"/>
            <w:tcBorders>
              <w:top w:val="nil"/>
              <w:left w:val="nil"/>
              <w:bottom w:val="single" w:color="auto" w:sz="4" w:space="0"/>
              <w:right w:val="single" w:color="auto" w:sz="4" w:space="0"/>
            </w:tcBorders>
            <w:noWrap/>
            <w:vAlign w:val="center"/>
          </w:tcPr>
          <w:p w14:paraId="6FA3E54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0.62</w:t>
            </w:r>
          </w:p>
        </w:tc>
      </w:tr>
      <w:tr w14:paraId="2756A339">
        <w:tblPrEx>
          <w:tblCellMar>
            <w:top w:w="0" w:type="dxa"/>
            <w:left w:w="108" w:type="dxa"/>
            <w:bottom w:w="0" w:type="dxa"/>
            <w:right w:w="108" w:type="dxa"/>
          </w:tblCellMar>
        </w:tblPrEx>
        <w:trPr>
          <w:trHeight w:val="408" w:hRule="atLeast"/>
          <w:jc w:val="center"/>
        </w:trPr>
        <w:tc>
          <w:tcPr>
            <w:tcW w:w="978" w:type="pct"/>
            <w:tcBorders>
              <w:top w:val="nil"/>
              <w:left w:val="single" w:color="auto" w:sz="4" w:space="0"/>
              <w:bottom w:val="single" w:color="auto" w:sz="4" w:space="0"/>
              <w:right w:val="single" w:color="auto" w:sz="4" w:space="0"/>
            </w:tcBorders>
            <w:noWrap/>
            <w:vAlign w:val="center"/>
          </w:tcPr>
          <w:p w14:paraId="0A9DF2D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组内</w:t>
            </w:r>
          </w:p>
        </w:tc>
        <w:tc>
          <w:tcPr>
            <w:tcW w:w="1026" w:type="pct"/>
            <w:tcBorders>
              <w:top w:val="nil"/>
              <w:left w:val="nil"/>
              <w:bottom w:val="single" w:color="auto" w:sz="4" w:space="0"/>
              <w:right w:val="single" w:color="auto" w:sz="4" w:space="0"/>
            </w:tcBorders>
            <w:noWrap/>
            <w:vAlign w:val="center"/>
          </w:tcPr>
          <w:p w14:paraId="687AA8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0.0207</w:t>
            </w:r>
          </w:p>
        </w:tc>
        <w:tc>
          <w:tcPr>
            <w:tcW w:w="1026" w:type="pct"/>
            <w:tcBorders>
              <w:top w:val="nil"/>
              <w:left w:val="nil"/>
              <w:bottom w:val="single" w:color="auto" w:sz="4" w:space="0"/>
              <w:right w:val="single" w:color="auto" w:sz="4" w:space="0"/>
            </w:tcBorders>
            <w:noWrap/>
            <w:vAlign w:val="center"/>
          </w:tcPr>
          <w:p w14:paraId="4490DB6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30</w:t>
            </w:r>
          </w:p>
        </w:tc>
        <w:tc>
          <w:tcPr>
            <w:tcW w:w="1026" w:type="pct"/>
            <w:tcBorders>
              <w:top w:val="nil"/>
              <w:left w:val="nil"/>
              <w:bottom w:val="single" w:color="auto" w:sz="4" w:space="0"/>
              <w:right w:val="single" w:color="auto" w:sz="4" w:space="0"/>
            </w:tcBorders>
            <w:noWrap/>
            <w:vAlign w:val="center"/>
          </w:tcPr>
          <w:p w14:paraId="043D90A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0.000691</w:t>
            </w:r>
          </w:p>
        </w:tc>
        <w:tc>
          <w:tcPr>
            <w:tcW w:w="941" w:type="pct"/>
            <w:tcBorders>
              <w:top w:val="nil"/>
              <w:left w:val="nil"/>
              <w:bottom w:val="single" w:color="auto" w:sz="4" w:space="0"/>
              <w:right w:val="single" w:color="auto" w:sz="4" w:space="0"/>
            </w:tcBorders>
            <w:noWrap/>
            <w:vAlign w:val="center"/>
          </w:tcPr>
          <w:p w14:paraId="48E229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w:t>
            </w:r>
          </w:p>
        </w:tc>
      </w:tr>
      <w:tr w14:paraId="796F4F34">
        <w:tblPrEx>
          <w:tblCellMar>
            <w:top w:w="0" w:type="dxa"/>
            <w:left w:w="108" w:type="dxa"/>
            <w:bottom w:w="0" w:type="dxa"/>
            <w:right w:w="108" w:type="dxa"/>
          </w:tblCellMar>
        </w:tblPrEx>
        <w:trPr>
          <w:trHeight w:val="408" w:hRule="atLeast"/>
          <w:jc w:val="center"/>
        </w:trPr>
        <w:tc>
          <w:tcPr>
            <w:tcW w:w="978" w:type="pct"/>
            <w:tcBorders>
              <w:top w:val="nil"/>
              <w:left w:val="single" w:color="auto" w:sz="4" w:space="0"/>
              <w:bottom w:val="single" w:color="auto" w:sz="4" w:space="0"/>
              <w:right w:val="single" w:color="auto" w:sz="4" w:space="0"/>
            </w:tcBorders>
            <w:noWrap/>
            <w:vAlign w:val="center"/>
          </w:tcPr>
          <w:p w14:paraId="41C0830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总和</w:t>
            </w:r>
          </w:p>
        </w:tc>
        <w:tc>
          <w:tcPr>
            <w:tcW w:w="1026" w:type="pct"/>
            <w:tcBorders>
              <w:top w:val="nil"/>
              <w:left w:val="nil"/>
              <w:bottom w:val="single" w:color="auto" w:sz="4" w:space="0"/>
              <w:right w:val="single" w:color="auto" w:sz="4" w:space="0"/>
            </w:tcBorders>
            <w:noWrap/>
            <w:vAlign w:val="center"/>
          </w:tcPr>
          <w:p w14:paraId="117025D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0.0246</w:t>
            </w:r>
          </w:p>
        </w:tc>
        <w:tc>
          <w:tcPr>
            <w:tcW w:w="1026" w:type="pct"/>
            <w:tcBorders>
              <w:top w:val="nil"/>
              <w:left w:val="nil"/>
              <w:bottom w:val="single" w:color="auto" w:sz="4" w:space="0"/>
              <w:right w:val="single" w:color="auto" w:sz="4" w:space="0"/>
            </w:tcBorders>
            <w:noWrap/>
            <w:vAlign w:val="center"/>
          </w:tcPr>
          <w:p w14:paraId="1667C78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39</w:t>
            </w:r>
          </w:p>
        </w:tc>
        <w:tc>
          <w:tcPr>
            <w:tcW w:w="1026" w:type="pct"/>
            <w:tcBorders>
              <w:top w:val="nil"/>
              <w:left w:val="nil"/>
              <w:bottom w:val="single" w:color="auto" w:sz="4" w:space="0"/>
              <w:right w:val="single" w:color="auto" w:sz="4" w:space="0"/>
            </w:tcBorders>
            <w:noWrap/>
            <w:vAlign w:val="center"/>
          </w:tcPr>
          <w:p w14:paraId="265F330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w:t>
            </w:r>
          </w:p>
        </w:tc>
        <w:tc>
          <w:tcPr>
            <w:tcW w:w="941" w:type="pct"/>
            <w:tcBorders>
              <w:top w:val="nil"/>
              <w:left w:val="nil"/>
              <w:bottom w:val="single" w:color="auto" w:sz="4" w:space="0"/>
              <w:right w:val="single" w:color="auto" w:sz="4" w:space="0"/>
            </w:tcBorders>
            <w:noWrap/>
            <w:vAlign w:val="center"/>
          </w:tcPr>
          <w:p w14:paraId="2D35865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w:t>
            </w:r>
          </w:p>
        </w:tc>
      </w:tr>
    </w:tbl>
    <w:p w14:paraId="3E3E8669">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B.</w:t>
      </w:r>
      <w:r>
        <w:rPr>
          <w:rFonts w:ascii="Times New Roman" w:hAnsi="Times New Roman" w:eastAsia="黑体"/>
          <w:spacing w:val="-6"/>
        </w:rPr>
        <w:t>4   7级标准样照均匀性的方差分析表</w:t>
      </w:r>
    </w:p>
    <w:tbl>
      <w:tblPr>
        <w:tblStyle w:val="28"/>
        <w:tblW w:w="4857" w:type="pct"/>
        <w:jc w:val="center"/>
        <w:tblLayout w:type="autofit"/>
        <w:tblCellMar>
          <w:top w:w="0" w:type="dxa"/>
          <w:left w:w="108" w:type="dxa"/>
          <w:bottom w:w="0" w:type="dxa"/>
          <w:right w:w="108" w:type="dxa"/>
        </w:tblCellMar>
      </w:tblPr>
      <w:tblGrid>
        <w:gridCol w:w="1910"/>
        <w:gridCol w:w="1913"/>
        <w:gridCol w:w="1913"/>
        <w:gridCol w:w="1913"/>
        <w:gridCol w:w="1647"/>
      </w:tblGrid>
      <w:tr w14:paraId="1E3D4FF4">
        <w:tblPrEx>
          <w:tblCellMar>
            <w:top w:w="0" w:type="dxa"/>
            <w:left w:w="108" w:type="dxa"/>
            <w:bottom w:w="0" w:type="dxa"/>
            <w:right w:w="108" w:type="dxa"/>
          </w:tblCellMar>
        </w:tblPrEx>
        <w:trPr>
          <w:trHeight w:val="408" w:hRule="atLeast"/>
          <w:jc w:val="center"/>
        </w:trPr>
        <w:tc>
          <w:tcPr>
            <w:tcW w:w="1027" w:type="pct"/>
            <w:tcBorders>
              <w:top w:val="single" w:color="auto" w:sz="4" w:space="0"/>
              <w:left w:val="single" w:color="auto" w:sz="4" w:space="0"/>
              <w:bottom w:val="single" w:color="auto" w:sz="4" w:space="0"/>
              <w:right w:val="single" w:color="auto" w:sz="4" w:space="0"/>
            </w:tcBorders>
            <w:noWrap/>
            <w:vAlign w:val="center"/>
          </w:tcPr>
          <w:p w14:paraId="7FB7422F">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变差源</w:t>
            </w:r>
          </w:p>
        </w:tc>
        <w:tc>
          <w:tcPr>
            <w:tcW w:w="1028" w:type="pct"/>
            <w:tcBorders>
              <w:top w:val="single" w:color="auto" w:sz="4" w:space="0"/>
              <w:left w:val="nil"/>
              <w:bottom w:val="single" w:color="auto" w:sz="4" w:space="0"/>
              <w:right w:val="single" w:color="auto" w:sz="4" w:space="0"/>
            </w:tcBorders>
            <w:noWrap/>
            <w:vAlign w:val="center"/>
          </w:tcPr>
          <w:p w14:paraId="3472EF53">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SS</w:t>
            </w:r>
          </w:p>
        </w:tc>
        <w:tc>
          <w:tcPr>
            <w:tcW w:w="1028" w:type="pct"/>
            <w:tcBorders>
              <w:top w:val="single" w:color="auto" w:sz="4" w:space="0"/>
              <w:left w:val="nil"/>
              <w:bottom w:val="single" w:color="auto" w:sz="4" w:space="0"/>
              <w:right w:val="single" w:color="auto" w:sz="4" w:space="0"/>
            </w:tcBorders>
            <w:noWrap/>
            <w:vAlign w:val="center"/>
          </w:tcPr>
          <w:p w14:paraId="38540C82">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自由度</w:t>
            </w:r>
          </w:p>
        </w:tc>
        <w:tc>
          <w:tcPr>
            <w:tcW w:w="1028" w:type="pct"/>
            <w:tcBorders>
              <w:top w:val="single" w:color="auto" w:sz="4" w:space="0"/>
              <w:left w:val="nil"/>
              <w:bottom w:val="single" w:color="auto" w:sz="4" w:space="0"/>
              <w:right w:val="single" w:color="auto" w:sz="4" w:space="0"/>
            </w:tcBorders>
            <w:noWrap/>
            <w:vAlign w:val="center"/>
          </w:tcPr>
          <w:p w14:paraId="0B70AA67">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MS</w:t>
            </w:r>
          </w:p>
        </w:tc>
        <w:tc>
          <w:tcPr>
            <w:tcW w:w="885" w:type="pct"/>
            <w:tcBorders>
              <w:top w:val="single" w:color="auto" w:sz="4" w:space="0"/>
              <w:left w:val="nil"/>
              <w:bottom w:val="single" w:color="auto" w:sz="4" w:space="0"/>
              <w:right w:val="single" w:color="auto" w:sz="4" w:space="0"/>
            </w:tcBorders>
            <w:noWrap/>
            <w:vAlign w:val="center"/>
          </w:tcPr>
          <w:p w14:paraId="7C45D65B">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F值</w:t>
            </w:r>
          </w:p>
        </w:tc>
      </w:tr>
      <w:tr w14:paraId="5AED941C">
        <w:tblPrEx>
          <w:tblCellMar>
            <w:top w:w="0" w:type="dxa"/>
            <w:left w:w="108" w:type="dxa"/>
            <w:bottom w:w="0" w:type="dxa"/>
            <w:right w:w="108" w:type="dxa"/>
          </w:tblCellMar>
        </w:tblPrEx>
        <w:trPr>
          <w:trHeight w:val="408" w:hRule="atLeast"/>
          <w:jc w:val="center"/>
        </w:trPr>
        <w:tc>
          <w:tcPr>
            <w:tcW w:w="1027" w:type="pct"/>
            <w:tcBorders>
              <w:top w:val="nil"/>
              <w:left w:val="single" w:color="auto" w:sz="4" w:space="0"/>
              <w:bottom w:val="single" w:color="auto" w:sz="4" w:space="0"/>
              <w:right w:val="single" w:color="auto" w:sz="4" w:space="0"/>
            </w:tcBorders>
            <w:noWrap/>
            <w:vAlign w:val="center"/>
          </w:tcPr>
          <w:p w14:paraId="313116E3">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组间</w:t>
            </w:r>
          </w:p>
        </w:tc>
        <w:tc>
          <w:tcPr>
            <w:tcW w:w="1028" w:type="pct"/>
            <w:tcBorders>
              <w:top w:val="nil"/>
              <w:left w:val="nil"/>
              <w:bottom w:val="single" w:color="auto" w:sz="4" w:space="0"/>
              <w:right w:val="single" w:color="auto" w:sz="4" w:space="0"/>
            </w:tcBorders>
            <w:noWrap/>
            <w:vAlign w:val="center"/>
          </w:tcPr>
          <w:p w14:paraId="4347D4BC">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0.0031</w:t>
            </w:r>
          </w:p>
        </w:tc>
        <w:tc>
          <w:tcPr>
            <w:tcW w:w="1028" w:type="pct"/>
            <w:tcBorders>
              <w:top w:val="nil"/>
              <w:left w:val="nil"/>
              <w:bottom w:val="single" w:color="auto" w:sz="4" w:space="0"/>
              <w:right w:val="single" w:color="auto" w:sz="4" w:space="0"/>
            </w:tcBorders>
            <w:noWrap/>
            <w:vAlign w:val="center"/>
          </w:tcPr>
          <w:p w14:paraId="35B91B12">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9</w:t>
            </w:r>
          </w:p>
        </w:tc>
        <w:tc>
          <w:tcPr>
            <w:tcW w:w="1028" w:type="pct"/>
            <w:tcBorders>
              <w:top w:val="nil"/>
              <w:left w:val="nil"/>
              <w:bottom w:val="single" w:color="auto" w:sz="4" w:space="0"/>
              <w:right w:val="single" w:color="auto" w:sz="4" w:space="0"/>
            </w:tcBorders>
            <w:noWrap/>
            <w:vAlign w:val="center"/>
          </w:tcPr>
          <w:p w14:paraId="19505529">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0.000349</w:t>
            </w:r>
          </w:p>
        </w:tc>
        <w:tc>
          <w:tcPr>
            <w:tcW w:w="885" w:type="pct"/>
            <w:tcBorders>
              <w:top w:val="nil"/>
              <w:left w:val="nil"/>
              <w:bottom w:val="single" w:color="auto" w:sz="4" w:space="0"/>
              <w:right w:val="single" w:color="auto" w:sz="4" w:space="0"/>
            </w:tcBorders>
            <w:noWrap/>
            <w:vAlign w:val="center"/>
          </w:tcPr>
          <w:p w14:paraId="39DFD4A5">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0.73</w:t>
            </w:r>
          </w:p>
        </w:tc>
      </w:tr>
      <w:tr w14:paraId="44489335">
        <w:tblPrEx>
          <w:tblCellMar>
            <w:top w:w="0" w:type="dxa"/>
            <w:left w:w="108" w:type="dxa"/>
            <w:bottom w:w="0" w:type="dxa"/>
            <w:right w:w="108" w:type="dxa"/>
          </w:tblCellMar>
        </w:tblPrEx>
        <w:trPr>
          <w:trHeight w:val="408" w:hRule="atLeast"/>
          <w:jc w:val="center"/>
        </w:trPr>
        <w:tc>
          <w:tcPr>
            <w:tcW w:w="1027" w:type="pct"/>
            <w:tcBorders>
              <w:top w:val="nil"/>
              <w:left w:val="single" w:color="auto" w:sz="4" w:space="0"/>
              <w:bottom w:val="single" w:color="auto" w:sz="4" w:space="0"/>
              <w:right w:val="single" w:color="auto" w:sz="4" w:space="0"/>
            </w:tcBorders>
            <w:noWrap/>
            <w:vAlign w:val="center"/>
          </w:tcPr>
          <w:p w14:paraId="6757CBAA">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组内</w:t>
            </w:r>
          </w:p>
        </w:tc>
        <w:tc>
          <w:tcPr>
            <w:tcW w:w="1028" w:type="pct"/>
            <w:tcBorders>
              <w:top w:val="nil"/>
              <w:left w:val="nil"/>
              <w:bottom w:val="single" w:color="auto" w:sz="4" w:space="0"/>
              <w:right w:val="single" w:color="auto" w:sz="4" w:space="0"/>
            </w:tcBorders>
            <w:noWrap/>
            <w:vAlign w:val="center"/>
          </w:tcPr>
          <w:p w14:paraId="2E2D1C44">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0.0143</w:t>
            </w:r>
          </w:p>
        </w:tc>
        <w:tc>
          <w:tcPr>
            <w:tcW w:w="1028" w:type="pct"/>
            <w:tcBorders>
              <w:top w:val="nil"/>
              <w:left w:val="nil"/>
              <w:bottom w:val="single" w:color="auto" w:sz="4" w:space="0"/>
              <w:right w:val="single" w:color="auto" w:sz="4" w:space="0"/>
            </w:tcBorders>
            <w:noWrap/>
            <w:vAlign w:val="center"/>
          </w:tcPr>
          <w:p w14:paraId="13A21893">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30</w:t>
            </w:r>
          </w:p>
        </w:tc>
        <w:tc>
          <w:tcPr>
            <w:tcW w:w="1028" w:type="pct"/>
            <w:tcBorders>
              <w:top w:val="nil"/>
              <w:left w:val="nil"/>
              <w:bottom w:val="single" w:color="auto" w:sz="4" w:space="0"/>
              <w:right w:val="single" w:color="auto" w:sz="4" w:space="0"/>
            </w:tcBorders>
            <w:noWrap/>
            <w:vAlign w:val="center"/>
          </w:tcPr>
          <w:p w14:paraId="4C9577E6">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0.000477</w:t>
            </w:r>
          </w:p>
        </w:tc>
        <w:tc>
          <w:tcPr>
            <w:tcW w:w="885" w:type="pct"/>
            <w:tcBorders>
              <w:top w:val="nil"/>
              <w:left w:val="nil"/>
              <w:bottom w:val="single" w:color="auto" w:sz="4" w:space="0"/>
              <w:right w:val="single" w:color="auto" w:sz="4" w:space="0"/>
            </w:tcBorders>
            <w:noWrap/>
            <w:vAlign w:val="center"/>
          </w:tcPr>
          <w:p w14:paraId="1D258ABF">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w:t>
            </w:r>
          </w:p>
        </w:tc>
      </w:tr>
      <w:tr w14:paraId="407F0062">
        <w:tblPrEx>
          <w:tblCellMar>
            <w:top w:w="0" w:type="dxa"/>
            <w:left w:w="108" w:type="dxa"/>
            <w:bottom w:w="0" w:type="dxa"/>
            <w:right w:w="108" w:type="dxa"/>
          </w:tblCellMar>
        </w:tblPrEx>
        <w:trPr>
          <w:trHeight w:val="408" w:hRule="atLeast"/>
          <w:jc w:val="center"/>
        </w:trPr>
        <w:tc>
          <w:tcPr>
            <w:tcW w:w="1027" w:type="pct"/>
            <w:tcBorders>
              <w:top w:val="nil"/>
              <w:left w:val="single" w:color="auto" w:sz="4" w:space="0"/>
              <w:bottom w:val="single" w:color="auto" w:sz="4" w:space="0"/>
              <w:right w:val="single" w:color="auto" w:sz="4" w:space="0"/>
            </w:tcBorders>
            <w:noWrap/>
            <w:vAlign w:val="center"/>
          </w:tcPr>
          <w:p w14:paraId="2F443F95">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总和</w:t>
            </w:r>
          </w:p>
        </w:tc>
        <w:tc>
          <w:tcPr>
            <w:tcW w:w="1028" w:type="pct"/>
            <w:tcBorders>
              <w:top w:val="nil"/>
              <w:left w:val="nil"/>
              <w:bottom w:val="single" w:color="auto" w:sz="4" w:space="0"/>
              <w:right w:val="single" w:color="auto" w:sz="4" w:space="0"/>
            </w:tcBorders>
            <w:noWrap/>
            <w:vAlign w:val="center"/>
          </w:tcPr>
          <w:p w14:paraId="6847FD1C">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0.0174</w:t>
            </w:r>
          </w:p>
        </w:tc>
        <w:tc>
          <w:tcPr>
            <w:tcW w:w="1028" w:type="pct"/>
            <w:tcBorders>
              <w:top w:val="nil"/>
              <w:left w:val="nil"/>
              <w:bottom w:val="single" w:color="auto" w:sz="4" w:space="0"/>
              <w:right w:val="single" w:color="auto" w:sz="4" w:space="0"/>
            </w:tcBorders>
            <w:noWrap/>
            <w:vAlign w:val="center"/>
          </w:tcPr>
          <w:p w14:paraId="2CC60E0A">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39</w:t>
            </w:r>
          </w:p>
        </w:tc>
        <w:tc>
          <w:tcPr>
            <w:tcW w:w="1028" w:type="pct"/>
            <w:tcBorders>
              <w:top w:val="nil"/>
              <w:left w:val="nil"/>
              <w:bottom w:val="single" w:color="auto" w:sz="4" w:space="0"/>
              <w:right w:val="single" w:color="auto" w:sz="4" w:space="0"/>
            </w:tcBorders>
            <w:noWrap/>
            <w:vAlign w:val="center"/>
          </w:tcPr>
          <w:p w14:paraId="45155A91">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w:t>
            </w:r>
          </w:p>
        </w:tc>
        <w:tc>
          <w:tcPr>
            <w:tcW w:w="885" w:type="pct"/>
            <w:tcBorders>
              <w:top w:val="nil"/>
              <w:left w:val="nil"/>
              <w:bottom w:val="single" w:color="auto" w:sz="4" w:space="0"/>
              <w:right w:val="single" w:color="auto" w:sz="4" w:space="0"/>
            </w:tcBorders>
            <w:noWrap/>
            <w:vAlign w:val="center"/>
          </w:tcPr>
          <w:p w14:paraId="5F404AB6">
            <w:pPr>
              <w:widowControl/>
              <w:kinsoku w:val="0"/>
              <w:autoSpaceDE w:val="0"/>
              <w:autoSpaceDN w:val="0"/>
              <w:snapToGrid w:val="0"/>
              <w:spacing w:before="78" w:beforeLines="25" w:line="360" w:lineRule="auto"/>
              <w:jc w:val="center"/>
              <w:textAlignment w:val="baseline"/>
              <w:rPr>
                <w:rFonts w:ascii="Times New Roman" w:hAnsi="Times New Roman"/>
                <w:spacing w:val="-6"/>
                <w:sz w:val="20"/>
                <w:szCs w:val="20"/>
              </w:rPr>
            </w:pPr>
            <w:r>
              <w:rPr>
                <w:rFonts w:ascii="Times New Roman" w:hAnsi="Times New Roman"/>
                <w:spacing w:val="-6"/>
                <w:sz w:val="20"/>
                <w:szCs w:val="20"/>
              </w:rPr>
              <w:t>-</w:t>
            </w:r>
          </w:p>
        </w:tc>
      </w:tr>
    </w:tbl>
    <w:p w14:paraId="633E8864">
      <w:pPr>
        <w:widowControl/>
        <w:kinsoku w:val="0"/>
        <w:autoSpaceDE w:val="0"/>
        <w:autoSpaceDN w:val="0"/>
        <w:snapToGrid w:val="0"/>
        <w:spacing w:line="360" w:lineRule="auto"/>
        <w:ind w:firstLine="376" w:firstLineChars="200"/>
        <w:textAlignment w:val="baseline"/>
        <w:rPr>
          <w:rFonts w:ascii="Times New Roman" w:hAnsi="Times New Roman"/>
          <w:spacing w:val="-6"/>
        </w:rPr>
      </w:pPr>
      <w:r>
        <w:rPr>
          <w:rFonts w:ascii="Times New Roman" w:hAnsi="Times New Roman"/>
          <w:spacing w:val="-6"/>
          <w:sz w:val="20"/>
          <w:szCs w:val="20"/>
        </w:rPr>
        <w:t xml:space="preserve">    </w:t>
      </w:r>
      <w:r>
        <w:rPr>
          <w:rFonts w:ascii="Times New Roman" w:hAnsi="Times New Roman"/>
          <w:spacing w:val="-6"/>
        </w:rPr>
        <w:t>结合F临界值表，F值均小于F</w:t>
      </w:r>
      <w:r>
        <w:rPr>
          <w:rFonts w:ascii="Times New Roman" w:hAnsi="Times New Roman"/>
          <w:spacing w:val="-6"/>
          <w:vertAlign w:val="subscript"/>
        </w:rPr>
        <w:t>0.05</w:t>
      </w:r>
      <w:r>
        <w:rPr>
          <w:rFonts w:ascii="Times New Roman" w:hAnsi="Times New Roman"/>
          <w:spacing w:val="-6"/>
        </w:rPr>
        <w:t>(9, 30)，说明各级标准样照色差的均匀性都符合要求。</w:t>
      </w:r>
    </w:p>
    <w:p w14:paraId="71034788">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w:t>
      </w:r>
      <w:r>
        <w:rPr>
          <w:rFonts w:hint="eastAsia" w:ascii="Times New Roman" w:hAnsi="Times New Roman" w:eastAsia="黑体"/>
          <w:spacing w:val="-6"/>
        </w:rPr>
        <w:t>6</w:t>
      </w:r>
      <w:r>
        <w:rPr>
          <w:rFonts w:ascii="Times New Roman" w:hAnsi="Times New Roman" w:eastAsia="黑体"/>
          <w:spacing w:val="-6"/>
        </w:rPr>
        <w:t xml:space="preserve">  </w:t>
      </w:r>
      <w:r>
        <w:rPr>
          <w:rFonts w:hint="eastAsia" w:ascii="Times New Roman" w:hAnsi="Times New Roman" w:eastAsia="黑体"/>
          <w:spacing w:val="-6"/>
        </w:rPr>
        <w:t>稳定性</w:t>
      </w:r>
    </w:p>
    <w:p w14:paraId="25DC1921">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.6.1 运输稳定性</w:t>
      </w:r>
    </w:p>
    <w:p w14:paraId="07BCD00C">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验证稻米碱消值标准样照的运输稳定性，需检测样照的色差和人员评定级别，分析不同保存条件下是否发生变化，发生的变化是否影响结果鉴定。保存条件设计应充分考虑到标准样照在储存、运输和使用过程中可能遇到的各种情况，如光照、温度、湿度等不同条件，经过一段时间间隔，确定这些条件是否对标准样照产生影响。本项研究设计了标准样照在常温避光干燥、50℃恒温箱、低温培养箱、自然光照、湿度75%培养箱和强光（阳光暴晒）等6种条件下保存。每个条件下放置6张样照（2张3级、2张5级、2张7级），每隔2到3天测定一次，进行连续15天的色差测定和人员评定级别（重复评定3次，取平均值）。</w:t>
      </w:r>
    </w:p>
    <w:p w14:paraId="718613A7">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根据所有样照色差的变化情况，不同的温度、湿度等条件对样照级别评定的影响不大。光照条件对标准样照的影响是不能完全忽略的。综合人员评定级别和色差分析结果，规定标准样照需保存在避光的条件下。</w:t>
      </w:r>
    </w:p>
    <w:p w14:paraId="3FACEFD2">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.6.2 长期稳定性</w:t>
      </w:r>
    </w:p>
    <w:p w14:paraId="68791265">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随机取6张样照（2张3级、2张5级、2张7级），保存在避光的条件下，分别在第0、3、6、9、12、15、18和21个月进行稳定性试验。在上述规定时间点，利用色差仪对样照的色差进行测定，计算结果列于表5。同时，在规定时间点的样照进行人员评定级别。</w:t>
      </w:r>
    </w:p>
    <w:p w14:paraId="07C394FF">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B.</w:t>
      </w:r>
      <w:r>
        <w:rPr>
          <w:rFonts w:ascii="Times New Roman" w:hAnsi="Times New Roman" w:eastAsia="黑体"/>
          <w:spacing w:val="-6"/>
        </w:rPr>
        <w:t>5 标准样照色差值</w:t>
      </w:r>
      <w:r>
        <w:rPr>
          <w:rFonts w:hint="eastAsia" w:ascii="Times New Roman" w:hAnsi="Times New Roman" w:eastAsia="黑体"/>
          <w:spacing w:val="-6"/>
        </w:rPr>
        <w:t>△</w:t>
      </w:r>
      <w:r>
        <w:rPr>
          <w:rFonts w:ascii="Times New Roman" w:hAnsi="Times New Roman" w:eastAsia="黑体"/>
          <w:spacing w:val="-6"/>
        </w:rPr>
        <w:t>E的长期稳定性数据</w:t>
      </w:r>
    </w:p>
    <w:tbl>
      <w:tblPr>
        <w:tblStyle w:val="28"/>
        <w:tblW w:w="9326" w:type="dxa"/>
        <w:jc w:val="center"/>
        <w:tblLayout w:type="fixed"/>
        <w:tblCellMar>
          <w:top w:w="0" w:type="dxa"/>
          <w:left w:w="108" w:type="dxa"/>
          <w:bottom w:w="0" w:type="dxa"/>
          <w:right w:w="108" w:type="dxa"/>
        </w:tblCellMar>
      </w:tblPr>
      <w:tblGrid>
        <w:gridCol w:w="1883"/>
        <w:gridCol w:w="1240"/>
        <w:gridCol w:w="1240"/>
        <w:gridCol w:w="1240"/>
        <w:gridCol w:w="1240"/>
        <w:gridCol w:w="1240"/>
        <w:gridCol w:w="1243"/>
      </w:tblGrid>
      <w:tr w14:paraId="0E438596">
        <w:tblPrEx>
          <w:tblCellMar>
            <w:top w:w="0" w:type="dxa"/>
            <w:left w:w="108" w:type="dxa"/>
            <w:bottom w:w="0" w:type="dxa"/>
            <w:right w:w="108" w:type="dxa"/>
          </w:tblCellMar>
        </w:tblPrEx>
        <w:trPr>
          <w:trHeight w:val="408" w:hRule="atLeast"/>
          <w:jc w:val="center"/>
        </w:trPr>
        <w:tc>
          <w:tcPr>
            <w:tcW w:w="1883" w:type="dxa"/>
            <w:vMerge w:val="restart"/>
            <w:tcBorders>
              <w:top w:val="single" w:color="auto" w:sz="4" w:space="0"/>
              <w:left w:val="single" w:color="auto" w:sz="4" w:space="0"/>
              <w:right w:val="single" w:color="auto" w:sz="4" w:space="0"/>
            </w:tcBorders>
            <w:vAlign w:val="center"/>
          </w:tcPr>
          <w:p w14:paraId="7537A81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时间（月）</w:t>
            </w:r>
          </w:p>
        </w:tc>
        <w:tc>
          <w:tcPr>
            <w:tcW w:w="2480" w:type="dxa"/>
            <w:gridSpan w:val="2"/>
            <w:tcBorders>
              <w:top w:val="single" w:color="auto" w:sz="4" w:space="0"/>
              <w:left w:val="nil"/>
              <w:bottom w:val="single" w:color="auto" w:sz="4" w:space="0"/>
              <w:right w:val="single" w:color="auto" w:sz="4" w:space="0"/>
            </w:tcBorders>
            <w:vAlign w:val="center"/>
          </w:tcPr>
          <w:p w14:paraId="73396A8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3级</w:t>
            </w:r>
          </w:p>
        </w:tc>
        <w:tc>
          <w:tcPr>
            <w:tcW w:w="2480" w:type="dxa"/>
            <w:gridSpan w:val="2"/>
            <w:tcBorders>
              <w:top w:val="single" w:color="auto" w:sz="4" w:space="0"/>
              <w:left w:val="nil"/>
              <w:bottom w:val="single" w:color="auto" w:sz="4" w:space="0"/>
              <w:right w:val="single" w:color="auto" w:sz="4" w:space="0"/>
            </w:tcBorders>
            <w:vAlign w:val="center"/>
          </w:tcPr>
          <w:p w14:paraId="7CB993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5级</w:t>
            </w:r>
          </w:p>
        </w:tc>
        <w:tc>
          <w:tcPr>
            <w:tcW w:w="2483" w:type="dxa"/>
            <w:gridSpan w:val="2"/>
            <w:tcBorders>
              <w:top w:val="single" w:color="auto" w:sz="4" w:space="0"/>
              <w:left w:val="nil"/>
              <w:bottom w:val="single" w:color="auto" w:sz="4" w:space="0"/>
              <w:right w:val="single" w:color="auto" w:sz="4" w:space="0"/>
            </w:tcBorders>
            <w:vAlign w:val="center"/>
          </w:tcPr>
          <w:p w14:paraId="765DF9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7级</w:t>
            </w:r>
          </w:p>
        </w:tc>
      </w:tr>
      <w:tr w14:paraId="494F9B02">
        <w:tblPrEx>
          <w:tblCellMar>
            <w:top w:w="0" w:type="dxa"/>
            <w:left w:w="108" w:type="dxa"/>
            <w:bottom w:w="0" w:type="dxa"/>
            <w:right w:w="108" w:type="dxa"/>
          </w:tblCellMar>
        </w:tblPrEx>
        <w:trPr>
          <w:trHeight w:val="408" w:hRule="atLeast"/>
          <w:jc w:val="center"/>
        </w:trPr>
        <w:tc>
          <w:tcPr>
            <w:tcW w:w="1883" w:type="dxa"/>
            <w:vMerge w:val="continue"/>
            <w:tcBorders>
              <w:left w:val="single" w:color="auto" w:sz="4" w:space="0"/>
              <w:bottom w:val="single" w:color="auto" w:sz="4" w:space="0"/>
              <w:right w:val="single" w:color="auto" w:sz="4" w:space="0"/>
            </w:tcBorders>
            <w:vAlign w:val="center"/>
          </w:tcPr>
          <w:p w14:paraId="4F687394">
            <w:pPr>
              <w:widowControl/>
              <w:kinsoku w:val="0"/>
              <w:autoSpaceDE w:val="0"/>
              <w:autoSpaceDN w:val="0"/>
              <w:snapToGrid w:val="0"/>
              <w:spacing w:before="78" w:beforeLines="25" w:line="360" w:lineRule="auto"/>
              <w:jc w:val="center"/>
              <w:textAlignment w:val="baseline"/>
              <w:rPr>
                <w:rFonts w:ascii="Times New Roman" w:hAnsi="Times New Roman"/>
                <w:spacing w:val="-6"/>
              </w:rPr>
            </w:pPr>
          </w:p>
        </w:tc>
        <w:tc>
          <w:tcPr>
            <w:tcW w:w="1240" w:type="dxa"/>
            <w:tcBorders>
              <w:top w:val="single" w:color="auto" w:sz="4" w:space="0"/>
              <w:left w:val="nil"/>
              <w:bottom w:val="single" w:color="auto" w:sz="4" w:space="0"/>
              <w:right w:val="single" w:color="auto" w:sz="4" w:space="0"/>
            </w:tcBorders>
            <w:vAlign w:val="center"/>
          </w:tcPr>
          <w:p w14:paraId="7526D56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样照1</w:t>
            </w:r>
          </w:p>
        </w:tc>
        <w:tc>
          <w:tcPr>
            <w:tcW w:w="1240" w:type="dxa"/>
            <w:tcBorders>
              <w:top w:val="single" w:color="auto" w:sz="4" w:space="0"/>
              <w:left w:val="nil"/>
              <w:bottom w:val="single" w:color="auto" w:sz="4" w:space="0"/>
              <w:right w:val="single" w:color="auto" w:sz="4" w:space="0"/>
            </w:tcBorders>
            <w:vAlign w:val="center"/>
          </w:tcPr>
          <w:p w14:paraId="6DD676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样照2</w:t>
            </w:r>
          </w:p>
        </w:tc>
        <w:tc>
          <w:tcPr>
            <w:tcW w:w="1240" w:type="dxa"/>
            <w:tcBorders>
              <w:top w:val="single" w:color="auto" w:sz="4" w:space="0"/>
              <w:left w:val="nil"/>
              <w:bottom w:val="single" w:color="auto" w:sz="4" w:space="0"/>
              <w:right w:val="single" w:color="auto" w:sz="4" w:space="0"/>
            </w:tcBorders>
            <w:vAlign w:val="center"/>
          </w:tcPr>
          <w:p w14:paraId="5781D7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样照3</w:t>
            </w:r>
          </w:p>
        </w:tc>
        <w:tc>
          <w:tcPr>
            <w:tcW w:w="1240" w:type="dxa"/>
            <w:tcBorders>
              <w:top w:val="single" w:color="auto" w:sz="4" w:space="0"/>
              <w:left w:val="nil"/>
              <w:bottom w:val="single" w:color="auto" w:sz="4" w:space="0"/>
              <w:right w:val="single" w:color="auto" w:sz="4" w:space="0"/>
            </w:tcBorders>
            <w:vAlign w:val="center"/>
          </w:tcPr>
          <w:p w14:paraId="2B3CBF0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样照4</w:t>
            </w:r>
          </w:p>
        </w:tc>
        <w:tc>
          <w:tcPr>
            <w:tcW w:w="1240" w:type="dxa"/>
            <w:tcBorders>
              <w:top w:val="single" w:color="auto" w:sz="4" w:space="0"/>
              <w:left w:val="nil"/>
              <w:bottom w:val="single" w:color="auto" w:sz="4" w:space="0"/>
              <w:right w:val="single" w:color="auto" w:sz="4" w:space="0"/>
            </w:tcBorders>
            <w:vAlign w:val="center"/>
          </w:tcPr>
          <w:p w14:paraId="5479309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样照5</w:t>
            </w:r>
          </w:p>
        </w:tc>
        <w:tc>
          <w:tcPr>
            <w:tcW w:w="1243" w:type="dxa"/>
            <w:tcBorders>
              <w:top w:val="single" w:color="auto" w:sz="4" w:space="0"/>
              <w:left w:val="nil"/>
              <w:bottom w:val="single" w:color="auto" w:sz="4" w:space="0"/>
              <w:right w:val="single" w:color="auto" w:sz="4" w:space="0"/>
            </w:tcBorders>
            <w:vAlign w:val="center"/>
          </w:tcPr>
          <w:p w14:paraId="4849911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样照6</w:t>
            </w:r>
          </w:p>
        </w:tc>
      </w:tr>
      <w:tr w14:paraId="13D65501">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0DFA876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w:t>
            </w:r>
          </w:p>
        </w:tc>
        <w:tc>
          <w:tcPr>
            <w:tcW w:w="1240" w:type="dxa"/>
            <w:tcBorders>
              <w:top w:val="single" w:color="auto" w:sz="8" w:space="0"/>
              <w:left w:val="single" w:color="auto" w:sz="8" w:space="0"/>
              <w:bottom w:val="single" w:color="auto" w:sz="8" w:space="0"/>
              <w:right w:val="single" w:color="auto" w:sz="8" w:space="0"/>
            </w:tcBorders>
            <w:vAlign w:val="center"/>
          </w:tcPr>
          <w:p w14:paraId="5F292E9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0.38</w:t>
            </w:r>
          </w:p>
        </w:tc>
        <w:tc>
          <w:tcPr>
            <w:tcW w:w="1240" w:type="dxa"/>
            <w:tcBorders>
              <w:top w:val="single" w:color="auto" w:sz="8" w:space="0"/>
              <w:left w:val="nil"/>
              <w:bottom w:val="single" w:color="auto" w:sz="8" w:space="0"/>
              <w:right w:val="single" w:color="auto" w:sz="8" w:space="0"/>
            </w:tcBorders>
            <w:vAlign w:val="center"/>
          </w:tcPr>
          <w:p w14:paraId="49EC5AB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0.37</w:t>
            </w:r>
          </w:p>
        </w:tc>
        <w:tc>
          <w:tcPr>
            <w:tcW w:w="1240" w:type="dxa"/>
            <w:tcBorders>
              <w:top w:val="single" w:color="auto" w:sz="4" w:space="0"/>
              <w:left w:val="nil"/>
              <w:bottom w:val="single" w:color="auto" w:sz="4" w:space="0"/>
              <w:right w:val="single" w:color="auto" w:sz="4" w:space="0"/>
            </w:tcBorders>
            <w:noWrap/>
            <w:vAlign w:val="center"/>
          </w:tcPr>
          <w:p w14:paraId="0B605F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0.40</w:t>
            </w:r>
          </w:p>
        </w:tc>
        <w:tc>
          <w:tcPr>
            <w:tcW w:w="1240" w:type="dxa"/>
            <w:tcBorders>
              <w:top w:val="single" w:color="auto" w:sz="8" w:space="0"/>
              <w:left w:val="single" w:color="auto" w:sz="8" w:space="0"/>
              <w:bottom w:val="single" w:color="auto" w:sz="8" w:space="0"/>
              <w:right w:val="single" w:color="auto" w:sz="8" w:space="0"/>
            </w:tcBorders>
            <w:vAlign w:val="center"/>
          </w:tcPr>
          <w:p w14:paraId="0B43DAE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w:t>
            </w:r>
          </w:p>
        </w:tc>
        <w:tc>
          <w:tcPr>
            <w:tcW w:w="1240" w:type="dxa"/>
            <w:tcBorders>
              <w:top w:val="single" w:color="auto" w:sz="8" w:space="0"/>
              <w:left w:val="nil"/>
              <w:bottom w:val="single" w:color="auto" w:sz="8" w:space="0"/>
              <w:right w:val="single" w:color="auto" w:sz="8" w:space="0"/>
            </w:tcBorders>
            <w:vAlign w:val="center"/>
          </w:tcPr>
          <w:p w14:paraId="45317B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w:t>
            </w:r>
          </w:p>
        </w:tc>
        <w:tc>
          <w:tcPr>
            <w:tcW w:w="1243" w:type="dxa"/>
            <w:tcBorders>
              <w:top w:val="single" w:color="auto" w:sz="8" w:space="0"/>
              <w:left w:val="nil"/>
              <w:bottom w:val="single" w:color="auto" w:sz="8" w:space="0"/>
              <w:right w:val="single" w:color="auto" w:sz="8" w:space="0"/>
            </w:tcBorders>
            <w:vAlign w:val="center"/>
          </w:tcPr>
          <w:p w14:paraId="166DF8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0.37</w:t>
            </w:r>
          </w:p>
        </w:tc>
      </w:tr>
      <w:tr w14:paraId="4BC7A2A7">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2087B08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240" w:type="dxa"/>
            <w:tcBorders>
              <w:top w:val="nil"/>
              <w:left w:val="single" w:color="auto" w:sz="8" w:space="0"/>
              <w:bottom w:val="single" w:color="auto" w:sz="8" w:space="0"/>
              <w:right w:val="single" w:color="auto" w:sz="8" w:space="0"/>
            </w:tcBorders>
            <w:vAlign w:val="center"/>
          </w:tcPr>
          <w:p w14:paraId="108AEDA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w:t>
            </w:r>
          </w:p>
        </w:tc>
        <w:tc>
          <w:tcPr>
            <w:tcW w:w="1240" w:type="dxa"/>
            <w:tcBorders>
              <w:top w:val="nil"/>
              <w:left w:val="nil"/>
              <w:bottom w:val="single" w:color="auto" w:sz="8" w:space="0"/>
              <w:right w:val="single" w:color="auto" w:sz="8" w:space="0"/>
            </w:tcBorders>
            <w:vAlign w:val="center"/>
          </w:tcPr>
          <w:p w14:paraId="3CCAE5C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w:t>
            </w:r>
          </w:p>
        </w:tc>
        <w:tc>
          <w:tcPr>
            <w:tcW w:w="1240" w:type="dxa"/>
            <w:tcBorders>
              <w:top w:val="nil"/>
              <w:left w:val="nil"/>
              <w:bottom w:val="single" w:color="auto" w:sz="4" w:space="0"/>
              <w:right w:val="single" w:color="auto" w:sz="4" w:space="0"/>
            </w:tcBorders>
            <w:noWrap/>
            <w:vAlign w:val="center"/>
          </w:tcPr>
          <w:p w14:paraId="4EDD9DD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nil"/>
              <w:left w:val="single" w:color="auto" w:sz="8" w:space="0"/>
              <w:bottom w:val="single" w:color="auto" w:sz="8" w:space="0"/>
              <w:right w:val="single" w:color="auto" w:sz="8" w:space="0"/>
            </w:tcBorders>
            <w:vAlign w:val="center"/>
          </w:tcPr>
          <w:p w14:paraId="26FC404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0.38</w:t>
            </w:r>
          </w:p>
        </w:tc>
        <w:tc>
          <w:tcPr>
            <w:tcW w:w="1240" w:type="dxa"/>
            <w:tcBorders>
              <w:top w:val="nil"/>
              <w:left w:val="nil"/>
              <w:bottom w:val="single" w:color="auto" w:sz="8" w:space="0"/>
              <w:right w:val="single" w:color="auto" w:sz="8" w:space="0"/>
            </w:tcBorders>
            <w:vAlign w:val="center"/>
          </w:tcPr>
          <w:p w14:paraId="363BC0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0.38</w:t>
            </w:r>
          </w:p>
        </w:tc>
        <w:tc>
          <w:tcPr>
            <w:tcW w:w="1243" w:type="dxa"/>
            <w:tcBorders>
              <w:top w:val="nil"/>
              <w:left w:val="nil"/>
              <w:bottom w:val="single" w:color="auto" w:sz="8" w:space="0"/>
              <w:right w:val="single" w:color="auto" w:sz="8" w:space="0"/>
            </w:tcBorders>
            <w:vAlign w:val="center"/>
          </w:tcPr>
          <w:p w14:paraId="2D6661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w:t>
            </w:r>
          </w:p>
        </w:tc>
      </w:tr>
      <w:tr w14:paraId="3C1E2A8A">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44B7CD8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240" w:type="dxa"/>
            <w:tcBorders>
              <w:top w:val="nil"/>
              <w:left w:val="single" w:color="auto" w:sz="8" w:space="0"/>
              <w:bottom w:val="single" w:color="auto" w:sz="8" w:space="0"/>
              <w:right w:val="single" w:color="auto" w:sz="8" w:space="0"/>
            </w:tcBorders>
            <w:vAlign w:val="center"/>
          </w:tcPr>
          <w:p w14:paraId="5A54FE0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nil"/>
              <w:left w:val="nil"/>
              <w:bottom w:val="single" w:color="auto" w:sz="8" w:space="0"/>
              <w:right w:val="single" w:color="auto" w:sz="8" w:space="0"/>
            </w:tcBorders>
            <w:vAlign w:val="center"/>
          </w:tcPr>
          <w:p w14:paraId="09A3072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nil"/>
              <w:left w:val="nil"/>
              <w:bottom w:val="single" w:color="auto" w:sz="4" w:space="0"/>
              <w:right w:val="single" w:color="auto" w:sz="4" w:space="0"/>
            </w:tcBorders>
            <w:noWrap/>
            <w:vAlign w:val="center"/>
          </w:tcPr>
          <w:p w14:paraId="4E5703A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w:t>
            </w:r>
          </w:p>
        </w:tc>
        <w:tc>
          <w:tcPr>
            <w:tcW w:w="1240" w:type="dxa"/>
            <w:tcBorders>
              <w:top w:val="nil"/>
              <w:left w:val="single" w:color="auto" w:sz="8" w:space="0"/>
              <w:bottom w:val="single" w:color="auto" w:sz="8" w:space="0"/>
              <w:right w:val="single" w:color="auto" w:sz="8" w:space="0"/>
            </w:tcBorders>
            <w:vAlign w:val="center"/>
          </w:tcPr>
          <w:p w14:paraId="7B33908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nil"/>
              <w:left w:val="nil"/>
              <w:bottom w:val="single" w:color="auto" w:sz="8" w:space="0"/>
              <w:right w:val="single" w:color="auto" w:sz="8" w:space="0"/>
            </w:tcBorders>
            <w:vAlign w:val="center"/>
          </w:tcPr>
          <w:p w14:paraId="043D799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c>
          <w:tcPr>
            <w:tcW w:w="1243" w:type="dxa"/>
            <w:tcBorders>
              <w:top w:val="nil"/>
              <w:left w:val="nil"/>
              <w:bottom w:val="single" w:color="auto" w:sz="8" w:space="0"/>
              <w:right w:val="single" w:color="auto" w:sz="8" w:space="0"/>
            </w:tcBorders>
            <w:vAlign w:val="center"/>
          </w:tcPr>
          <w:p w14:paraId="456E862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r>
      <w:tr w14:paraId="1F8729CC">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6C52C0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240" w:type="dxa"/>
            <w:tcBorders>
              <w:top w:val="nil"/>
              <w:left w:val="single" w:color="auto" w:sz="8" w:space="0"/>
              <w:bottom w:val="single" w:color="auto" w:sz="8" w:space="0"/>
              <w:right w:val="single" w:color="auto" w:sz="8" w:space="0"/>
            </w:tcBorders>
            <w:vAlign w:val="center"/>
          </w:tcPr>
          <w:p w14:paraId="3DBC76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c>
          <w:tcPr>
            <w:tcW w:w="1240" w:type="dxa"/>
            <w:tcBorders>
              <w:top w:val="nil"/>
              <w:left w:val="nil"/>
              <w:bottom w:val="single" w:color="auto" w:sz="8" w:space="0"/>
              <w:right w:val="single" w:color="auto" w:sz="8" w:space="0"/>
            </w:tcBorders>
            <w:vAlign w:val="center"/>
          </w:tcPr>
          <w:p w14:paraId="022A7F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0.40</w:t>
            </w:r>
          </w:p>
        </w:tc>
        <w:tc>
          <w:tcPr>
            <w:tcW w:w="1240" w:type="dxa"/>
            <w:tcBorders>
              <w:top w:val="nil"/>
              <w:left w:val="nil"/>
              <w:bottom w:val="single" w:color="auto" w:sz="4" w:space="0"/>
              <w:right w:val="single" w:color="auto" w:sz="4" w:space="0"/>
            </w:tcBorders>
            <w:noWrap/>
            <w:vAlign w:val="center"/>
          </w:tcPr>
          <w:p w14:paraId="33727CB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nil"/>
              <w:left w:val="single" w:color="auto" w:sz="8" w:space="0"/>
              <w:bottom w:val="single" w:color="auto" w:sz="8" w:space="0"/>
              <w:right w:val="single" w:color="auto" w:sz="8" w:space="0"/>
            </w:tcBorders>
            <w:vAlign w:val="center"/>
          </w:tcPr>
          <w:p w14:paraId="4A27BEF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0.43</w:t>
            </w:r>
          </w:p>
        </w:tc>
        <w:tc>
          <w:tcPr>
            <w:tcW w:w="1240" w:type="dxa"/>
            <w:tcBorders>
              <w:top w:val="nil"/>
              <w:left w:val="nil"/>
              <w:bottom w:val="single" w:color="auto" w:sz="8" w:space="0"/>
              <w:right w:val="single" w:color="auto" w:sz="8" w:space="0"/>
            </w:tcBorders>
            <w:vAlign w:val="center"/>
          </w:tcPr>
          <w:p w14:paraId="71D600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0.44</w:t>
            </w:r>
          </w:p>
        </w:tc>
        <w:tc>
          <w:tcPr>
            <w:tcW w:w="1243" w:type="dxa"/>
            <w:tcBorders>
              <w:top w:val="nil"/>
              <w:left w:val="nil"/>
              <w:bottom w:val="single" w:color="auto" w:sz="8" w:space="0"/>
              <w:right w:val="single" w:color="auto" w:sz="8" w:space="0"/>
            </w:tcBorders>
            <w:vAlign w:val="center"/>
          </w:tcPr>
          <w:p w14:paraId="39EEF7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0.44</w:t>
            </w:r>
          </w:p>
        </w:tc>
      </w:tr>
      <w:tr w14:paraId="4BB79DED">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1F5B4CA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12</w:t>
            </w:r>
          </w:p>
        </w:tc>
        <w:tc>
          <w:tcPr>
            <w:tcW w:w="1240" w:type="dxa"/>
            <w:tcBorders>
              <w:top w:val="nil"/>
              <w:left w:val="single" w:color="auto" w:sz="8" w:space="0"/>
              <w:bottom w:val="single" w:color="auto" w:sz="8" w:space="0"/>
              <w:right w:val="single" w:color="auto" w:sz="8" w:space="0"/>
            </w:tcBorders>
            <w:vAlign w:val="center"/>
          </w:tcPr>
          <w:p w14:paraId="0C9973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c>
          <w:tcPr>
            <w:tcW w:w="1240" w:type="dxa"/>
            <w:tcBorders>
              <w:top w:val="nil"/>
              <w:left w:val="nil"/>
              <w:bottom w:val="single" w:color="auto" w:sz="8" w:space="0"/>
              <w:right w:val="single" w:color="auto" w:sz="8" w:space="0"/>
            </w:tcBorders>
            <w:vAlign w:val="center"/>
          </w:tcPr>
          <w:p w14:paraId="75E9EE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0.43</w:t>
            </w:r>
          </w:p>
        </w:tc>
        <w:tc>
          <w:tcPr>
            <w:tcW w:w="1240" w:type="dxa"/>
            <w:tcBorders>
              <w:top w:val="nil"/>
              <w:left w:val="nil"/>
              <w:bottom w:val="single" w:color="auto" w:sz="4" w:space="0"/>
              <w:right w:val="single" w:color="auto" w:sz="4" w:space="0"/>
            </w:tcBorders>
            <w:noWrap/>
            <w:vAlign w:val="center"/>
          </w:tcPr>
          <w:p w14:paraId="2A7ECCC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0.43</w:t>
            </w:r>
          </w:p>
        </w:tc>
        <w:tc>
          <w:tcPr>
            <w:tcW w:w="1240" w:type="dxa"/>
            <w:tcBorders>
              <w:top w:val="nil"/>
              <w:left w:val="single" w:color="auto" w:sz="8" w:space="0"/>
              <w:bottom w:val="single" w:color="auto" w:sz="8" w:space="0"/>
              <w:right w:val="single" w:color="auto" w:sz="8" w:space="0"/>
            </w:tcBorders>
            <w:vAlign w:val="center"/>
          </w:tcPr>
          <w:p w14:paraId="5D8336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nil"/>
              <w:left w:val="nil"/>
              <w:bottom w:val="single" w:color="auto" w:sz="8" w:space="0"/>
              <w:right w:val="single" w:color="auto" w:sz="8" w:space="0"/>
            </w:tcBorders>
            <w:vAlign w:val="center"/>
          </w:tcPr>
          <w:p w14:paraId="0DC0542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3" w:type="dxa"/>
            <w:tcBorders>
              <w:top w:val="nil"/>
              <w:left w:val="nil"/>
              <w:bottom w:val="single" w:color="auto" w:sz="8" w:space="0"/>
              <w:right w:val="single" w:color="auto" w:sz="8" w:space="0"/>
            </w:tcBorders>
            <w:vAlign w:val="center"/>
          </w:tcPr>
          <w:p w14:paraId="266A011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0.40</w:t>
            </w:r>
          </w:p>
        </w:tc>
      </w:tr>
      <w:tr w14:paraId="45F133C2">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5E3262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15</w:t>
            </w:r>
          </w:p>
        </w:tc>
        <w:tc>
          <w:tcPr>
            <w:tcW w:w="1240" w:type="dxa"/>
            <w:tcBorders>
              <w:top w:val="nil"/>
              <w:left w:val="single" w:color="auto" w:sz="8" w:space="0"/>
              <w:bottom w:val="single" w:color="auto" w:sz="8" w:space="0"/>
              <w:right w:val="single" w:color="auto" w:sz="8" w:space="0"/>
            </w:tcBorders>
            <w:noWrap/>
            <w:vAlign w:val="center"/>
          </w:tcPr>
          <w:p w14:paraId="4DEBDF2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0.43</w:t>
            </w:r>
          </w:p>
        </w:tc>
        <w:tc>
          <w:tcPr>
            <w:tcW w:w="1240" w:type="dxa"/>
            <w:tcBorders>
              <w:top w:val="nil"/>
              <w:left w:val="nil"/>
              <w:bottom w:val="single" w:color="auto" w:sz="8" w:space="0"/>
              <w:right w:val="single" w:color="auto" w:sz="8" w:space="0"/>
            </w:tcBorders>
            <w:noWrap/>
            <w:vAlign w:val="center"/>
          </w:tcPr>
          <w:p w14:paraId="6CDC164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w:t>
            </w:r>
          </w:p>
        </w:tc>
        <w:tc>
          <w:tcPr>
            <w:tcW w:w="1240" w:type="dxa"/>
            <w:tcBorders>
              <w:top w:val="nil"/>
              <w:left w:val="nil"/>
              <w:bottom w:val="single" w:color="auto" w:sz="4" w:space="0"/>
              <w:right w:val="single" w:color="auto" w:sz="4" w:space="0"/>
            </w:tcBorders>
            <w:noWrap/>
            <w:vAlign w:val="center"/>
          </w:tcPr>
          <w:p w14:paraId="5250B14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c>
          <w:tcPr>
            <w:tcW w:w="1240" w:type="dxa"/>
            <w:tcBorders>
              <w:top w:val="nil"/>
              <w:left w:val="single" w:color="auto" w:sz="8" w:space="0"/>
              <w:bottom w:val="single" w:color="auto" w:sz="8" w:space="0"/>
              <w:right w:val="single" w:color="auto" w:sz="8" w:space="0"/>
            </w:tcBorders>
            <w:noWrap/>
            <w:vAlign w:val="center"/>
          </w:tcPr>
          <w:p w14:paraId="7CAF11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0.43</w:t>
            </w:r>
          </w:p>
        </w:tc>
        <w:tc>
          <w:tcPr>
            <w:tcW w:w="1240" w:type="dxa"/>
            <w:tcBorders>
              <w:top w:val="nil"/>
              <w:left w:val="nil"/>
              <w:bottom w:val="single" w:color="auto" w:sz="8" w:space="0"/>
              <w:right w:val="single" w:color="auto" w:sz="8" w:space="0"/>
            </w:tcBorders>
            <w:noWrap/>
            <w:vAlign w:val="center"/>
          </w:tcPr>
          <w:p w14:paraId="632CC72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0.43</w:t>
            </w:r>
          </w:p>
        </w:tc>
        <w:tc>
          <w:tcPr>
            <w:tcW w:w="1243" w:type="dxa"/>
            <w:tcBorders>
              <w:top w:val="nil"/>
              <w:left w:val="nil"/>
              <w:bottom w:val="single" w:color="auto" w:sz="8" w:space="0"/>
              <w:right w:val="single" w:color="auto" w:sz="8" w:space="0"/>
            </w:tcBorders>
            <w:noWrap/>
            <w:vAlign w:val="center"/>
          </w:tcPr>
          <w:p w14:paraId="47E20B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r>
      <w:tr w14:paraId="707145BC">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515B621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18</w:t>
            </w:r>
          </w:p>
        </w:tc>
        <w:tc>
          <w:tcPr>
            <w:tcW w:w="1240" w:type="dxa"/>
            <w:tcBorders>
              <w:top w:val="nil"/>
              <w:left w:val="single" w:color="auto" w:sz="8" w:space="0"/>
              <w:bottom w:val="single" w:color="auto" w:sz="8" w:space="0"/>
              <w:right w:val="single" w:color="auto" w:sz="8" w:space="0"/>
            </w:tcBorders>
            <w:noWrap/>
            <w:vAlign w:val="center"/>
          </w:tcPr>
          <w:p w14:paraId="39CE99D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0.40</w:t>
            </w:r>
          </w:p>
        </w:tc>
        <w:tc>
          <w:tcPr>
            <w:tcW w:w="1240" w:type="dxa"/>
            <w:tcBorders>
              <w:top w:val="nil"/>
              <w:left w:val="nil"/>
              <w:bottom w:val="single" w:color="auto" w:sz="8" w:space="0"/>
              <w:right w:val="single" w:color="auto" w:sz="8" w:space="0"/>
            </w:tcBorders>
            <w:noWrap/>
            <w:vAlign w:val="center"/>
          </w:tcPr>
          <w:p w14:paraId="45F0C19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0.40</w:t>
            </w:r>
          </w:p>
        </w:tc>
        <w:tc>
          <w:tcPr>
            <w:tcW w:w="1240" w:type="dxa"/>
            <w:tcBorders>
              <w:top w:val="nil"/>
              <w:left w:val="nil"/>
              <w:bottom w:val="single" w:color="auto" w:sz="4" w:space="0"/>
              <w:right w:val="single" w:color="auto" w:sz="4" w:space="0"/>
            </w:tcBorders>
            <w:noWrap/>
            <w:vAlign w:val="center"/>
          </w:tcPr>
          <w:p w14:paraId="4040B58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nil"/>
              <w:left w:val="single" w:color="auto" w:sz="8" w:space="0"/>
              <w:bottom w:val="single" w:color="auto" w:sz="8" w:space="0"/>
              <w:right w:val="single" w:color="auto" w:sz="8" w:space="0"/>
            </w:tcBorders>
            <w:noWrap/>
            <w:vAlign w:val="center"/>
          </w:tcPr>
          <w:p w14:paraId="0D818B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0.40</w:t>
            </w:r>
          </w:p>
        </w:tc>
        <w:tc>
          <w:tcPr>
            <w:tcW w:w="1240" w:type="dxa"/>
            <w:tcBorders>
              <w:top w:val="nil"/>
              <w:left w:val="nil"/>
              <w:bottom w:val="single" w:color="auto" w:sz="8" w:space="0"/>
              <w:right w:val="single" w:color="auto" w:sz="8" w:space="0"/>
            </w:tcBorders>
            <w:noWrap/>
            <w:vAlign w:val="center"/>
          </w:tcPr>
          <w:p w14:paraId="3DE3168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c>
          <w:tcPr>
            <w:tcW w:w="1243" w:type="dxa"/>
            <w:tcBorders>
              <w:top w:val="nil"/>
              <w:left w:val="nil"/>
              <w:bottom w:val="single" w:color="auto" w:sz="8" w:space="0"/>
              <w:right w:val="single" w:color="auto" w:sz="8" w:space="0"/>
            </w:tcBorders>
            <w:noWrap/>
            <w:vAlign w:val="center"/>
          </w:tcPr>
          <w:p w14:paraId="4BE377A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r>
      <w:tr w14:paraId="32FD8422">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448D2C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21</w:t>
            </w:r>
          </w:p>
        </w:tc>
        <w:tc>
          <w:tcPr>
            <w:tcW w:w="1240" w:type="dxa"/>
            <w:tcBorders>
              <w:top w:val="nil"/>
              <w:left w:val="single" w:color="auto" w:sz="8" w:space="0"/>
              <w:bottom w:val="single" w:color="auto" w:sz="4" w:space="0"/>
              <w:right w:val="single" w:color="auto" w:sz="8" w:space="0"/>
            </w:tcBorders>
            <w:noWrap/>
            <w:vAlign w:val="center"/>
          </w:tcPr>
          <w:p w14:paraId="76FF05F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nil"/>
              <w:left w:val="nil"/>
              <w:bottom w:val="single" w:color="auto" w:sz="4" w:space="0"/>
              <w:right w:val="single" w:color="auto" w:sz="8" w:space="0"/>
            </w:tcBorders>
            <w:noWrap/>
            <w:vAlign w:val="center"/>
          </w:tcPr>
          <w:p w14:paraId="3094628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c>
          <w:tcPr>
            <w:tcW w:w="1240" w:type="dxa"/>
            <w:tcBorders>
              <w:top w:val="nil"/>
              <w:left w:val="nil"/>
              <w:bottom w:val="single" w:color="auto" w:sz="4" w:space="0"/>
              <w:right w:val="single" w:color="auto" w:sz="4" w:space="0"/>
            </w:tcBorders>
            <w:noWrap/>
            <w:vAlign w:val="center"/>
          </w:tcPr>
          <w:p w14:paraId="47944B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c>
          <w:tcPr>
            <w:tcW w:w="1240" w:type="dxa"/>
            <w:tcBorders>
              <w:top w:val="nil"/>
              <w:left w:val="single" w:color="auto" w:sz="8" w:space="0"/>
              <w:bottom w:val="single" w:color="auto" w:sz="4" w:space="0"/>
              <w:right w:val="single" w:color="auto" w:sz="8" w:space="0"/>
            </w:tcBorders>
            <w:noWrap/>
            <w:vAlign w:val="center"/>
          </w:tcPr>
          <w:p w14:paraId="1F33907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c>
          <w:tcPr>
            <w:tcW w:w="1240" w:type="dxa"/>
            <w:tcBorders>
              <w:top w:val="nil"/>
              <w:left w:val="nil"/>
              <w:bottom w:val="single" w:color="auto" w:sz="8" w:space="0"/>
              <w:right w:val="single" w:color="auto" w:sz="8" w:space="0"/>
            </w:tcBorders>
            <w:noWrap/>
            <w:vAlign w:val="center"/>
          </w:tcPr>
          <w:p w14:paraId="183AB6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3" w:type="dxa"/>
            <w:tcBorders>
              <w:top w:val="nil"/>
              <w:left w:val="nil"/>
              <w:bottom w:val="single" w:color="auto" w:sz="4" w:space="0"/>
              <w:right w:val="single" w:color="auto" w:sz="8" w:space="0"/>
            </w:tcBorders>
            <w:noWrap/>
            <w:vAlign w:val="center"/>
          </w:tcPr>
          <w:p w14:paraId="1F7DAA5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0.42</w:t>
            </w:r>
          </w:p>
        </w:tc>
      </w:tr>
      <w:tr w14:paraId="3031A40D">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42C2D7BB">
            <w:pPr>
              <w:widowControl/>
              <w:kinsoku w:val="0"/>
              <w:autoSpaceDE w:val="0"/>
              <w:autoSpaceDN w:val="0"/>
              <w:snapToGrid w:val="0"/>
              <w:spacing w:before="78" w:beforeLines="25" w:line="360" w:lineRule="auto"/>
              <w:jc w:val="center"/>
              <w:textAlignment w:val="baseline"/>
              <w:rPr>
                <w:rFonts w:ascii="Times New Roman" w:hAnsi="Times New Roman"/>
                <w:spacing w:val="-6"/>
              </w:rPr>
            </w:pPr>
            <m:oMathPara>
              <m:oMath>
                <m:bar>
                  <m:barPr>
                    <m:pos m:val="top"/>
                    <m:ctrlPr>
                      <w:rPr>
                        <w:rFonts w:ascii="Cambria Math" w:hAnsi="Cambria Math" w:eastAsia="等线"/>
                        <w:sz w:val="22"/>
                      </w:rPr>
                    </m:ctrlPr>
                  </m:barPr>
                  <m:e>
                    <m:r>
                      <m:rPr>
                        <m:sty m:val="p"/>
                      </m:rPr>
                      <w:rPr>
                        <w:rFonts w:ascii="Cambria Math" w:hAnsi="Cambria Math"/>
                        <w:sz w:val="22"/>
                      </w:rPr>
                      <m:t>Y</m:t>
                    </m:r>
                    <m:ctrlPr>
                      <w:rPr>
                        <w:rFonts w:ascii="Cambria Math" w:hAnsi="Cambria Math" w:eastAsia="等线"/>
                        <w:sz w:val="22"/>
                      </w:rPr>
                    </m:ctrlPr>
                  </m:e>
                </m:bar>
              </m:oMath>
            </m:oMathPara>
          </w:p>
        </w:tc>
        <w:tc>
          <w:tcPr>
            <w:tcW w:w="1240" w:type="dxa"/>
            <w:tcBorders>
              <w:top w:val="single" w:color="auto" w:sz="4" w:space="0"/>
              <w:left w:val="nil"/>
              <w:bottom w:val="single" w:color="auto" w:sz="4" w:space="0"/>
              <w:right w:val="single" w:color="auto" w:sz="4" w:space="0"/>
            </w:tcBorders>
            <w:vAlign w:val="center"/>
          </w:tcPr>
          <w:p w14:paraId="47DAF0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single" w:color="auto" w:sz="4" w:space="0"/>
              <w:left w:val="single" w:color="auto" w:sz="4" w:space="0"/>
              <w:bottom w:val="single" w:color="auto" w:sz="4" w:space="0"/>
              <w:right w:val="single" w:color="auto" w:sz="4" w:space="0"/>
            </w:tcBorders>
            <w:vAlign w:val="center"/>
          </w:tcPr>
          <w:p w14:paraId="3546A17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0.40</w:t>
            </w:r>
          </w:p>
        </w:tc>
        <w:tc>
          <w:tcPr>
            <w:tcW w:w="1240" w:type="dxa"/>
            <w:tcBorders>
              <w:top w:val="single" w:color="auto" w:sz="4" w:space="0"/>
              <w:left w:val="single" w:color="auto" w:sz="4" w:space="0"/>
              <w:bottom w:val="single" w:color="auto" w:sz="4" w:space="0"/>
              <w:right w:val="single" w:color="auto" w:sz="4" w:space="0"/>
            </w:tcBorders>
            <w:vAlign w:val="center"/>
          </w:tcPr>
          <w:p w14:paraId="71AC8B6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single" w:color="auto" w:sz="4" w:space="0"/>
              <w:left w:val="single" w:color="auto" w:sz="4" w:space="0"/>
              <w:bottom w:val="single" w:color="auto" w:sz="4" w:space="0"/>
              <w:right w:val="single" w:color="auto" w:sz="4" w:space="0"/>
            </w:tcBorders>
            <w:vAlign w:val="center"/>
          </w:tcPr>
          <w:p w14:paraId="036D957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0" w:type="dxa"/>
            <w:tcBorders>
              <w:top w:val="single" w:color="auto" w:sz="4" w:space="0"/>
              <w:left w:val="single" w:color="auto" w:sz="4" w:space="0"/>
              <w:bottom w:val="single" w:color="auto" w:sz="4" w:space="0"/>
              <w:right w:val="single" w:color="auto" w:sz="4" w:space="0"/>
            </w:tcBorders>
            <w:vAlign w:val="center"/>
          </w:tcPr>
          <w:p w14:paraId="1E0C9B9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c>
          <w:tcPr>
            <w:tcW w:w="1243" w:type="dxa"/>
            <w:tcBorders>
              <w:top w:val="single" w:color="auto" w:sz="4" w:space="0"/>
              <w:left w:val="single" w:color="auto" w:sz="4" w:space="0"/>
              <w:bottom w:val="single" w:color="auto" w:sz="4" w:space="0"/>
              <w:right w:val="single" w:color="auto" w:sz="4" w:space="0"/>
            </w:tcBorders>
            <w:vAlign w:val="center"/>
          </w:tcPr>
          <w:p w14:paraId="64B934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0.41</w:t>
            </w:r>
          </w:p>
        </w:tc>
      </w:tr>
      <w:tr w14:paraId="740AD944">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7B6F42A9">
            <w:pPr>
              <w:widowControl/>
              <w:kinsoku w:val="0"/>
              <w:autoSpaceDE w:val="0"/>
              <w:autoSpaceDN w:val="0"/>
              <w:snapToGrid w:val="0"/>
              <w:spacing w:before="78" w:beforeLines="25" w:line="360" w:lineRule="auto"/>
              <w:jc w:val="center"/>
              <w:textAlignment w:val="baseline"/>
              <w:rPr>
                <w:rFonts w:ascii="Times New Roman" w:hAnsi="Times New Roman"/>
                <w:spacing w:val="-6"/>
              </w:rPr>
            </w:pPr>
            <m:oMathPara>
              <m:oMath>
                <m:bar>
                  <m:barPr>
                    <m:pos m:val="top"/>
                    <m:ctrlPr>
                      <w:rPr>
                        <w:rFonts w:ascii="Cambria Math" w:hAnsi="Cambria Math" w:eastAsia="等线"/>
                        <w:sz w:val="22"/>
                      </w:rPr>
                    </m:ctrlPr>
                  </m:barPr>
                  <m:e>
                    <m:r>
                      <m:rPr>
                        <m:sty m:val="p"/>
                      </m:rPr>
                      <w:rPr>
                        <w:rFonts w:ascii="Cambria Math" w:hAnsi="Cambria Math"/>
                        <w:sz w:val="22"/>
                      </w:rPr>
                      <m:t>X</m:t>
                    </m:r>
                    <m:ctrlPr>
                      <w:rPr>
                        <w:rFonts w:ascii="Cambria Math" w:hAnsi="Cambria Math" w:eastAsia="等线"/>
                        <w:sz w:val="22"/>
                      </w:rPr>
                    </m:ctrlPr>
                  </m:e>
                </m:bar>
              </m:oMath>
            </m:oMathPara>
          </w:p>
        </w:tc>
        <w:tc>
          <w:tcPr>
            <w:tcW w:w="1240" w:type="dxa"/>
            <w:tcBorders>
              <w:top w:val="single" w:color="auto" w:sz="4" w:space="0"/>
              <w:left w:val="nil"/>
              <w:bottom w:val="single" w:color="auto" w:sz="4" w:space="0"/>
              <w:right w:val="single" w:color="auto" w:sz="4" w:space="0"/>
            </w:tcBorders>
            <w:vAlign w:val="center"/>
          </w:tcPr>
          <w:p w14:paraId="765D599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10.5</w:t>
            </w:r>
          </w:p>
        </w:tc>
        <w:tc>
          <w:tcPr>
            <w:tcW w:w="1240" w:type="dxa"/>
            <w:tcBorders>
              <w:top w:val="single" w:color="auto" w:sz="4" w:space="0"/>
              <w:left w:val="single" w:color="auto" w:sz="4" w:space="0"/>
              <w:bottom w:val="single" w:color="auto" w:sz="4" w:space="0"/>
              <w:right w:val="single" w:color="auto" w:sz="4" w:space="0"/>
            </w:tcBorders>
            <w:vAlign w:val="center"/>
          </w:tcPr>
          <w:p w14:paraId="7642A3A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10.5</w:t>
            </w:r>
          </w:p>
        </w:tc>
        <w:tc>
          <w:tcPr>
            <w:tcW w:w="1240" w:type="dxa"/>
            <w:tcBorders>
              <w:top w:val="single" w:color="auto" w:sz="4" w:space="0"/>
              <w:left w:val="single" w:color="auto" w:sz="4" w:space="0"/>
              <w:bottom w:val="single" w:color="auto" w:sz="4" w:space="0"/>
              <w:right w:val="single" w:color="auto" w:sz="4" w:space="0"/>
            </w:tcBorders>
            <w:vAlign w:val="center"/>
          </w:tcPr>
          <w:p w14:paraId="758C7D7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10.5</w:t>
            </w:r>
          </w:p>
        </w:tc>
        <w:tc>
          <w:tcPr>
            <w:tcW w:w="1240" w:type="dxa"/>
            <w:tcBorders>
              <w:top w:val="single" w:color="auto" w:sz="4" w:space="0"/>
              <w:left w:val="single" w:color="auto" w:sz="4" w:space="0"/>
              <w:bottom w:val="single" w:color="auto" w:sz="4" w:space="0"/>
              <w:right w:val="single" w:color="auto" w:sz="4" w:space="0"/>
            </w:tcBorders>
            <w:vAlign w:val="center"/>
          </w:tcPr>
          <w:p w14:paraId="29B5B1D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10.5</w:t>
            </w:r>
          </w:p>
        </w:tc>
        <w:tc>
          <w:tcPr>
            <w:tcW w:w="1240" w:type="dxa"/>
            <w:tcBorders>
              <w:top w:val="single" w:color="auto" w:sz="4" w:space="0"/>
              <w:left w:val="single" w:color="auto" w:sz="4" w:space="0"/>
              <w:bottom w:val="single" w:color="auto" w:sz="4" w:space="0"/>
              <w:right w:val="single" w:color="auto" w:sz="4" w:space="0"/>
            </w:tcBorders>
            <w:vAlign w:val="center"/>
          </w:tcPr>
          <w:p w14:paraId="3A756CB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10.5</w:t>
            </w:r>
          </w:p>
        </w:tc>
        <w:tc>
          <w:tcPr>
            <w:tcW w:w="1243" w:type="dxa"/>
            <w:tcBorders>
              <w:top w:val="single" w:color="auto" w:sz="4" w:space="0"/>
              <w:left w:val="single" w:color="auto" w:sz="4" w:space="0"/>
              <w:bottom w:val="single" w:color="auto" w:sz="4" w:space="0"/>
              <w:right w:val="single" w:color="auto" w:sz="4" w:space="0"/>
            </w:tcBorders>
            <w:vAlign w:val="center"/>
          </w:tcPr>
          <w:p w14:paraId="45D76A0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10.5</w:t>
            </w:r>
          </w:p>
        </w:tc>
      </w:tr>
      <w:tr w14:paraId="6C419834">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5F3E00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b1</w:t>
            </w:r>
          </w:p>
        </w:tc>
        <w:tc>
          <w:tcPr>
            <w:tcW w:w="1240" w:type="dxa"/>
            <w:tcBorders>
              <w:top w:val="single" w:color="auto" w:sz="4" w:space="0"/>
              <w:left w:val="nil"/>
              <w:bottom w:val="single" w:color="auto" w:sz="4" w:space="0"/>
              <w:right w:val="single" w:color="auto" w:sz="4" w:space="0"/>
            </w:tcBorders>
            <w:vAlign w:val="center"/>
          </w:tcPr>
          <w:p w14:paraId="689DD0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0.0013</w:t>
            </w:r>
          </w:p>
        </w:tc>
        <w:tc>
          <w:tcPr>
            <w:tcW w:w="1240" w:type="dxa"/>
            <w:tcBorders>
              <w:top w:val="single" w:color="auto" w:sz="4" w:space="0"/>
              <w:left w:val="single" w:color="auto" w:sz="4" w:space="0"/>
              <w:bottom w:val="single" w:color="auto" w:sz="4" w:space="0"/>
              <w:right w:val="single" w:color="auto" w:sz="4" w:space="0"/>
            </w:tcBorders>
            <w:vAlign w:val="center"/>
          </w:tcPr>
          <w:p w14:paraId="095A723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0.0015</w:t>
            </w:r>
          </w:p>
        </w:tc>
        <w:tc>
          <w:tcPr>
            <w:tcW w:w="1240" w:type="dxa"/>
            <w:tcBorders>
              <w:top w:val="single" w:color="auto" w:sz="4" w:space="0"/>
              <w:left w:val="single" w:color="auto" w:sz="4" w:space="0"/>
              <w:bottom w:val="single" w:color="auto" w:sz="4" w:space="0"/>
              <w:right w:val="single" w:color="auto" w:sz="4" w:space="0"/>
            </w:tcBorders>
            <w:vAlign w:val="center"/>
          </w:tcPr>
          <w:p w14:paraId="6DDD19E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0.0010</w:t>
            </w:r>
          </w:p>
        </w:tc>
        <w:tc>
          <w:tcPr>
            <w:tcW w:w="1240" w:type="dxa"/>
            <w:tcBorders>
              <w:top w:val="single" w:color="auto" w:sz="4" w:space="0"/>
              <w:left w:val="single" w:color="auto" w:sz="4" w:space="0"/>
              <w:bottom w:val="single" w:color="auto" w:sz="4" w:space="0"/>
              <w:right w:val="single" w:color="auto" w:sz="4" w:space="0"/>
            </w:tcBorders>
            <w:vAlign w:val="center"/>
          </w:tcPr>
          <w:p w14:paraId="5638606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0.0014</w:t>
            </w:r>
          </w:p>
        </w:tc>
        <w:tc>
          <w:tcPr>
            <w:tcW w:w="1240" w:type="dxa"/>
            <w:tcBorders>
              <w:top w:val="single" w:color="auto" w:sz="4" w:space="0"/>
              <w:left w:val="single" w:color="auto" w:sz="4" w:space="0"/>
              <w:bottom w:val="single" w:color="auto" w:sz="4" w:space="0"/>
              <w:right w:val="single" w:color="auto" w:sz="4" w:space="0"/>
            </w:tcBorders>
            <w:vAlign w:val="center"/>
          </w:tcPr>
          <w:p w14:paraId="4BD832C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0.0013</w:t>
            </w:r>
          </w:p>
        </w:tc>
        <w:tc>
          <w:tcPr>
            <w:tcW w:w="1243" w:type="dxa"/>
            <w:tcBorders>
              <w:top w:val="single" w:color="auto" w:sz="4" w:space="0"/>
              <w:left w:val="single" w:color="auto" w:sz="4" w:space="0"/>
              <w:bottom w:val="single" w:color="auto" w:sz="4" w:space="0"/>
              <w:right w:val="single" w:color="auto" w:sz="4" w:space="0"/>
            </w:tcBorders>
            <w:vAlign w:val="center"/>
          </w:tcPr>
          <w:p w14:paraId="4021D05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0.0017</w:t>
            </w:r>
          </w:p>
        </w:tc>
      </w:tr>
      <w:tr w14:paraId="10150AAD">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2B78E8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b0</w:t>
            </w:r>
          </w:p>
        </w:tc>
        <w:tc>
          <w:tcPr>
            <w:tcW w:w="1240" w:type="dxa"/>
            <w:tcBorders>
              <w:top w:val="single" w:color="auto" w:sz="4" w:space="0"/>
              <w:left w:val="nil"/>
              <w:bottom w:val="single" w:color="auto" w:sz="4" w:space="0"/>
              <w:right w:val="single" w:color="auto" w:sz="4" w:space="0"/>
            </w:tcBorders>
            <w:vAlign w:val="center"/>
          </w:tcPr>
          <w:p w14:paraId="587C0F4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0.3942</w:t>
            </w:r>
          </w:p>
        </w:tc>
        <w:tc>
          <w:tcPr>
            <w:tcW w:w="1240" w:type="dxa"/>
            <w:tcBorders>
              <w:top w:val="single" w:color="auto" w:sz="4" w:space="0"/>
              <w:left w:val="single" w:color="auto" w:sz="4" w:space="0"/>
              <w:bottom w:val="single" w:color="auto" w:sz="4" w:space="0"/>
              <w:right w:val="single" w:color="auto" w:sz="4" w:space="0"/>
            </w:tcBorders>
            <w:vAlign w:val="center"/>
          </w:tcPr>
          <w:p w14:paraId="2A63DB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0.3858</w:t>
            </w:r>
          </w:p>
        </w:tc>
        <w:tc>
          <w:tcPr>
            <w:tcW w:w="1240" w:type="dxa"/>
            <w:tcBorders>
              <w:top w:val="single" w:color="auto" w:sz="4" w:space="0"/>
              <w:left w:val="single" w:color="auto" w:sz="4" w:space="0"/>
              <w:bottom w:val="single" w:color="auto" w:sz="4" w:space="0"/>
              <w:right w:val="single" w:color="auto" w:sz="4" w:space="0"/>
            </w:tcBorders>
            <w:vAlign w:val="center"/>
          </w:tcPr>
          <w:p w14:paraId="53E9D3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0.4008</w:t>
            </w:r>
          </w:p>
        </w:tc>
        <w:tc>
          <w:tcPr>
            <w:tcW w:w="1240" w:type="dxa"/>
            <w:tcBorders>
              <w:top w:val="single" w:color="auto" w:sz="4" w:space="0"/>
              <w:left w:val="single" w:color="auto" w:sz="4" w:space="0"/>
              <w:bottom w:val="single" w:color="auto" w:sz="4" w:space="0"/>
              <w:right w:val="single" w:color="auto" w:sz="4" w:space="0"/>
            </w:tcBorders>
            <w:vAlign w:val="center"/>
          </w:tcPr>
          <w:p w14:paraId="4C53D5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0.3942</w:t>
            </w:r>
          </w:p>
        </w:tc>
        <w:tc>
          <w:tcPr>
            <w:tcW w:w="1240" w:type="dxa"/>
            <w:tcBorders>
              <w:top w:val="single" w:color="auto" w:sz="4" w:space="0"/>
              <w:left w:val="single" w:color="auto" w:sz="4" w:space="0"/>
              <w:bottom w:val="single" w:color="auto" w:sz="4" w:space="0"/>
              <w:right w:val="single" w:color="auto" w:sz="4" w:space="0"/>
            </w:tcBorders>
            <w:vAlign w:val="center"/>
          </w:tcPr>
          <w:p w14:paraId="472AAA7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0.3983</w:t>
            </w:r>
          </w:p>
        </w:tc>
        <w:tc>
          <w:tcPr>
            <w:tcW w:w="1243" w:type="dxa"/>
            <w:tcBorders>
              <w:top w:val="single" w:color="auto" w:sz="4" w:space="0"/>
              <w:left w:val="single" w:color="auto" w:sz="4" w:space="0"/>
              <w:bottom w:val="single" w:color="auto" w:sz="4" w:space="0"/>
              <w:right w:val="single" w:color="auto" w:sz="4" w:space="0"/>
            </w:tcBorders>
            <w:vAlign w:val="center"/>
          </w:tcPr>
          <w:p w14:paraId="4AD95E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0.3892</w:t>
            </w:r>
          </w:p>
        </w:tc>
      </w:tr>
      <w:tr w14:paraId="4AE511FD">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12474C4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S</w:t>
            </w:r>
          </w:p>
        </w:tc>
        <w:tc>
          <w:tcPr>
            <w:tcW w:w="1240" w:type="dxa"/>
            <w:tcBorders>
              <w:top w:val="single" w:color="auto" w:sz="4" w:space="0"/>
              <w:left w:val="nil"/>
              <w:bottom w:val="single" w:color="auto" w:sz="4" w:space="0"/>
              <w:right w:val="single" w:color="auto" w:sz="4" w:space="0"/>
            </w:tcBorders>
            <w:vAlign w:val="center"/>
          </w:tcPr>
          <w:p w14:paraId="54468A9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0.0149</w:t>
            </w:r>
          </w:p>
        </w:tc>
        <w:tc>
          <w:tcPr>
            <w:tcW w:w="1240" w:type="dxa"/>
            <w:tcBorders>
              <w:top w:val="single" w:color="auto" w:sz="4" w:space="0"/>
              <w:left w:val="single" w:color="auto" w:sz="4" w:space="0"/>
              <w:bottom w:val="single" w:color="auto" w:sz="4" w:space="0"/>
              <w:right w:val="single" w:color="auto" w:sz="4" w:space="0"/>
            </w:tcBorders>
            <w:vAlign w:val="center"/>
          </w:tcPr>
          <w:p w14:paraId="3140EA8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0.0167</w:t>
            </w:r>
          </w:p>
        </w:tc>
        <w:tc>
          <w:tcPr>
            <w:tcW w:w="1240" w:type="dxa"/>
            <w:tcBorders>
              <w:top w:val="single" w:color="auto" w:sz="4" w:space="0"/>
              <w:left w:val="single" w:color="auto" w:sz="4" w:space="0"/>
              <w:bottom w:val="single" w:color="auto" w:sz="4" w:space="0"/>
              <w:right w:val="single" w:color="auto" w:sz="4" w:space="0"/>
            </w:tcBorders>
            <w:vAlign w:val="center"/>
          </w:tcPr>
          <w:p w14:paraId="22710A3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0.0109</w:t>
            </w:r>
          </w:p>
        </w:tc>
        <w:tc>
          <w:tcPr>
            <w:tcW w:w="1240" w:type="dxa"/>
            <w:tcBorders>
              <w:top w:val="single" w:color="auto" w:sz="4" w:space="0"/>
              <w:left w:val="single" w:color="auto" w:sz="4" w:space="0"/>
              <w:bottom w:val="single" w:color="auto" w:sz="4" w:space="0"/>
              <w:right w:val="single" w:color="auto" w:sz="4" w:space="0"/>
            </w:tcBorders>
            <w:vAlign w:val="center"/>
          </w:tcPr>
          <w:p w14:paraId="65A0BD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0.0161</w:t>
            </w:r>
          </w:p>
        </w:tc>
        <w:tc>
          <w:tcPr>
            <w:tcW w:w="1240" w:type="dxa"/>
            <w:tcBorders>
              <w:top w:val="single" w:color="auto" w:sz="4" w:space="0"/>
              <w:left w:val="single" w:color="auto" w:sz="4" w:space="0"/>
              <w:bottom w:val="single" w:color="auto" w:sz="4" w:space="0"/>
              <w:right w:val="single" w:color="auto" w:sz="4" w:space="0"/>
            </w:tcBorders>
            <w:vAlign w:val="center"/>
          </w:tcPr>
          <w:p w14:paraId="6294126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0.0185</w:t>
            </w:r>
          </w:p>
        </w:tc>
        <w:tc>
          <w:tcPr>
            <w:tcW w:w="1243" w:type="dxa"/>
            <w:tcBorders>
              <w:top w:val="single" w:color="auto" w:sz="4" w:space="0"/>
              <w:left w:val="single" w:color="auto" w:sz="4" w:space="0"/>
              <w:bottom w:val="single" w:color="auto" w:sz="4" w:space="0"/>
              <w:right w:val="single" w:color="auto" w:sz="4" w:space="0"/>
            </w:tcBorders>
            <w:vAlign w:val="center"/>
          </w:tcPr>
          <w:p w14:paraId="6592C6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0.0182</w:t>
            </w:r>
          </w:p>
        </w:tc>
      </w:tr>
      <w:tr w14:paraId="0EE9E177">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50EFE5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S(b1)</w:t>
            </w:r>
          </w:p>
        </w:tc>
        <w:tc>
          <w:tcPr>
            <w:tcW w:w="1240" w:type="dxa"/>
            <w:tcBorders>
              <w:top w:val="single" w:color="auto" w:sz="4" w:space="0"/>
              <w:left w:val="nil"/>
              <w:bottom w:val="single" w:color="auto" w:sz="4" w:space="0"/>
              <w:right w:val="single" w:color="auto" w:sz="4" w:space="0"/>
            </w:tcBorders>
            <w:vAlign w:val="center"/>
          </w:tcPr>
          <w:p w14:paraId="1E4D3A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0.0008</w:t>
            </w:r>
          </w:p>
        </w:tc>
        <w:tc>
          <w:tcPr>
            <w:tcW w:w="1240" w:type="dxa"/>
            <w:tcBorders>
              <w:top w:val="single" w:color="auto" w:sz="4" w:space="0"/>
              <w:left w:val="single" w:color="auto" w:sz="4" w:space="0"/>
              <w:bottom w:val="single" w:color="auto" w:sz="4" w:space="0"/>
              <w:right w:val="single" w:color="auto" w:sz="4" w:space="0"/>
            </w:tcBorders>
            <w:vAlign w:val="center"/>
          </w:tcPr>
          <w:p w14:paraId="13C785B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0.0009</w:t>
            </w:r>
          </w:p>
        </w:tc>
        <w:tc>
          <w:tcPr>
            <w:tcW w:w="1240" w:type="dxa"/>
            <w:tcBorders>
              <w:top w:val="single" w:color="auto" w:sz="4" w:space="0"/>
              <w:left w:val="single" w:color="auto" w:sz="4" w:space="0"/>
              <w:bottom w:val="single" w:color="auto" w:sz="4" w:space="0"/>
              <w:right w:val="single" w:color="auto" w:sz="4" w:space="0"/>
            </w:tcBorders>
            <w:vAlign w:val="center"/>
          </w:tcPr>
          <w:p w14:paraId="6860E18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0.0006</w:t>
            </w:r>
          </w:p>
        </w:tc>
        <w:tc>
          <w:tcPr>
            <w:tcW w:w="1240" w:type="dxa"/>
            <w:tcBorders>
              <w:top w:val="single" w:color="auto" w:sz="4" w:space="0"/>
              <w:left w:val="single" w:color="auto" w:sz="4" w:space="0"/>
              <w:bottom w:val="single" w:color="auto" w:sz="4" w:space="0"/>
              <w:right w:val="single" w:color="auto" w:sz="4" w:space="0"/>
            </w:tcBorders>
            <w:vAlign w:val="center"/>
          </w:tcPr>
          <w:p w14:paraId="67B9703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0.0008</w:t>
            </w:r>
          </w:p>
        </w:tc>
        <w:tc>
          <w:tcPr>
            <w:tcW w:w="1240" w:type="dxa"/>
            <w:tcBorders>
              <w:top w:val="single" w:color="auto" w:sz="4" w:space="0"/>
              <w:left w:val="single" w:color="auto" w:sz="4" w:space="0"/>
              <w:bottom w:val="single" w:color="auto" w:sz="4" w:space="0"/>
              <w:right w:val="single" w:color="auto" w:sz="4" w:space="0"/>
            </w:tcBorders>
            <w:vAlign w:val="center"/>
          </w:tcPr>
          <w:p w14:paraId="50126B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0.0010</w:t>
            </w:r>
          </w:p>
        </w:tc>
        <w:tc>
          <w:tcPr>
            <w:tcW w:w="1243" w:type="dxa"/>
            <w:tcBorders>
              <w:top w:val="single" w:color="auto" w:sz="4" w:space="0"/>
              <w:left w:val="single" w:color="auto" w:sz="4" w:space="0"/>
              <w:bottom w:val="single" w:color="auto" w:sz="4" w:space="0"/>
              <w:right w:val="single" w:color="auto" w:sz="4" w:space="0"/>
            </w:tcBorders>
            <w:vAlign w:val="center"/>
          </w:tcPr>
          <w:p w14:paraId="6DB334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0.0009</w:t>
            </w:r>
          </w:p>
        </w:tc>
      </w:tr>
      <w:tr w14:paraId="753F8BBB">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3D7B38F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ults</w:t>
            </w:r>
          </w:p>
        </w:tc>
        <w:tc>
          <w:tcPr>
            <w:tcW w:w="1240" w:type="dxa"/>
            <w:tcBorders>
              <w:top w:val="single" w:color="auto" w:sz="4" w:space="0"/>
              <w:left w:val="nil"/>
              <w:bottom w:val="single" w:color="auto" w:sz="4" w:space="0"/>
              <w:right w:val="single" w:color="auto" w:sz="4" w:space="0"/>
            </w:tcBorders>
            <w:vAlign w:val="center"/>
          </w:tcPr>
          <w:p w14:paraId="3B45586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0.0161</w:t>
            </w:r>
          </w:p>
        </w:tc>
        <w:tc>
          <w:tcPr>
            <w:tcW w:w="1240" w:type="dxa"/>
            <w:tcBorders>
              <w:top w:val="single" w:color="auto" w:sz="4" w:space="0"/>
              <w:left w:val="single" w:color="auto" w:sz="4" w:space="0"/>
              <w:bottom w:val="single" w:color="auto" w:sz="4" w:space="0"/>
              <w:right w:val="single" w:color="auto" w:sz="4" w:space="0"/>
            </w:tcBorders>
            <w:vAlign w:val="center"/>
          </w:tcPr>
          <w:p w14:paraId="6E5D979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0.0180</w:t>
            </w:r>
          </w:p>
        </w:tc>
        <w:tc>
          <w:tcPr>
            <w:tcW w:w="1240" w:type="dxa"/>
            <w:tcBorders>
              <w:top w:val="single" w:color="auto" w:sz="4" w:space="0"/>
              <w:left w:val="single" w:color="auto" w:sz="4" w:space="0"/>
              <w:bottom w:val="single" w:color="auto" w:sz="4" w:space="0"/>
              <w:right w:val="single" w:color="auto" w:sz="4" w:space="0"/>
            </w:tcBorders>
            <w:vAlign w:val="center"/>
          </w:tcPr>
          <w:p w14:paraId="178CBDA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0.0118</w:t>
            </w:r>
          </w:p>
        </w:tc>
        <w:tc>
          <w:tcPr>
            <w:tcW w:w="1240" w:type="dxa"/>
            <w:tcBorders>
              <w:top w:val="single" w:color="auto" w:sz="4" w:space="0"/>
              <w:left w:val="single" w:color="auto" w:sz="4" w:space="0"/>
              <w:bottom w:val="single" w:color="auto" w:sz="4" w:space="0"/>
              <w:right w:val="single" w:color="auto" w:sz="4" w:space="0"/>
            </w:tcBorders>
            <w:vAlign w:val="center"/>
          </w:tcPr>
          <w:p w14:paraId="0D5505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0.0174</w:t>
            </w:r>
          </w:p>
        </w:tc>
        <w:tc>
          <w:tcPr>
            <w:tcW w:w="1240" w:type="dxa"/>
            <w:tcBorders>
              <w:top w:val="single" w:color="auto" w:sz="4" w:space="0"/>
              <w:left w:val="single" w:color="auto" w:sz="4" w:space="0"/>
              <w:bottom w:val="single" w:color="auto" w:sz="4" w:space="0"/>
              <w:right w:val="single" w:color="auto" w:sz="4" w:space="0"/>
            </w:tcBorders>
            <w:vAlign w:val="center"/>
          </w:tcPr>
          <w:p w14:paraId="11CFBB3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0.0200</w:t>
            </w:r>
          </w:p>
        </w:tc>
        <w:tc>
          <w:tcPr>
            <w:tcW w:w="1243" w:type="dxa"/>
            <w:tcBorders>
              <w:top w:val="single" w:color="auto" w:sz="4" w:space="0"/>
              <w:left w:val="single" w:color="auto" w:sz="4" w:space="0"/>
              <w:bottom w:val="single" w:color="auto" w:sz="4" w:space="0"/>
              <w:right w:val="single" w:color="auto" w:sz="4" w:space="0"/>
            </w:tcBorders>
            <w:vAlign w:val="center"/>
          </w:tcPr>
          <w:p w14:paraId="694E207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0.0197</w:t>
            </w:r>
          </w:p>
        </w:tc>
      </w:tr>
      <w:tr w14:paraId="7A8243F5">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21E0685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hint="eastAsia" w:ascii="Times New Roman" w:hAnsi="Times New Roman"/>
                <w:spacing w:val="-6"/>
              </w:rPr>
              <w:t>t</w:t>
            </w:r>
            <w:r>
              <w:rPr>
                <w:rFonts w:ascii="Times New Roman" w:hAnsi="Times New Roman"/>
                <w:spacing w:val="-6"/>
              </w:rPr>
              <w:t>(0.95，n-2)*s</w:t>
            </w:r>
            <w:r>
              <w:rPr>
                <w:rFonts w:ascii="Times New Roman" w:hAnsi="Times New Roman"/>
                <w:spacing w:val="-6"/>
                <w:vertAlign w:val="subscript"/>
              </w:rPr>
              <w:t>(b</w:t>
            </w:r>
            <w:r>
              <w:rPr>
                <w:rFonts w:ascii="Times New Roman" w:hAnsi="Times New Roman"/>
                <w:spacing w:val="-6"/>
                <w:vertAlign w:val="subscript"/>
              </w:rPr>
              <w:t>1</w:t>
            </w:r>
            <w:r>
              <w:rPr>
                <w:rFonts w:ascii="Times New Roman" w:hAnsi="Times New Roman"/>
                <w:spacing w:val="-6"/>
                <w:vertAlign w:val="subscript"/>
              </w:rPr>
              <w:t>)</w:t>
            </w:r>
          </w:p>
        </w:tc>
        <w:tc>
          <w:tcPr>
            <w:tcW w:w="1240" w:type="dxa"/>
            <w:tcBorders>
              <w:top w:val="single" w:color="auto" w:sz="4" w:space="0"/>
              <w:left w:val="nil"/>
              <w:bottom w:val="single" w:color="auto" w:sz="4" w:space="0"/>
              <w:right w:val="single" w:color="auto" w:sz="4" w:space="0"/>
            </w:tcBorders>
            <w:vAlign w:val="center"/>
          </w:tcPr>
          <w:p w14:paraId="391093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0.0015</w:t>
            </w:r>
          </w:p>
        </w:tc>
        <w:tc>
          <w:tcPr>
            <w:tcW w:w="1240" w:type="dxa"/>
            <w:tcBorders>
              <w:top w:val="single" w:color="auto" w:sz="4" w:space="0"/>
              <w:left w:val="single" w:color="auto" w:sz="4" w:space="0"/>
              <w:bottom w:val="single" w:color="auto" w:sz="4" w:space="0"/>
              <w:right w:val="single" w:color="auto" w:sz="4" w:space="0"/>
            </w:tcBorders>
            <w:vAlign w:val="center"/>
          </w:tcPr>
          <w:p w14:paraId="4BE8F6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0.0017</w:t>
            </w:r>
          </w:p>
        </w:tc>
        <w:tc>
          <w:tcPr>
            <w:tcW w:w="1240" w:type="dxa"/>
            <w:tcBorders>
              <w:top w:val="single" w:color="auto" w:sz="4" w:space="0"/>
              <w:left w:val="single" w:color="auto" w:sz="4" w:space="0"/>
              <w:bottom w:val="single" w:color="auto" w:sz="4" w:space="0"/>
              <w:right w:val="single" w:color="auto" w:sz="4" w:space="0"/>
            </w:tcBorders>
            <w:vAlign w:val="center"/>
          </w:tcPr>
          <w:p w14:paraId="433A495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0.0011</w:t>
            </w:r>
          </w:p>
        </w:tc>
        <w:tc>
          <w:tcPr>
            <w:tcW w:w="1240" w:type="dxa"/>
            <w:tcBorders>
              <w:top w:val="single" w:color="auto" w:sz="4" w:space="0"/>
              <w:left w:val="single" w:color="auto" w:sz="4" w:space="0"/>
              <w:bottom w:val="single" w:color="auto" w:sz="4" w:space="0"/>
              <w:right w:val="single" w:color="auto" w:sz="4" w:space="0"/>
            </w:tcBorders>
            <w:vAlign w:val="center"/>
          </w:tcPr>
          <w:p w14:paraId="2E1B57C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0.0016</w:t>
            </w:r>
          </w:p>
        </w:tc>
        <w:tc>
          <w:tcPr>
            <w:tcW w:w="1240" w:type="dxa"/>
            <w:tcBorders>
              <w:top w:val="single" w:color="auto" w:sz="4" w:space="0"/>
              <w:left w:val="single" w:color="auto" w:sz="4" w:space="0"/>
              <w:bottom w:val="single" w:color="auto" w:sz="4" w:space="0"/>
              <w:right w:val="single" w:color="auto" w:sz="4" w:space="0"/>
            </w:tcBorders>
            <w:vAlign w:val="center"/>
          </w:tcPr>
          <w:p w14:paraId="6A0365B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0.0019</w:t>
            </w:r>
          </w:p>
        </w:tc>
        <w:tc>
          <w:tcPr>
            <w:tcW w:w="1243" w:type="dxa"/>
            <w:tcBorders>
              <w:top w:val="single" w:color="auto" w:sz="4" w:space="0"/>
              <w:left w:val="single" w:color="auto" w:sz="4" w:space="0"/>
              <w:bottom w:val="single" w:color="auto" w:sz="4" w:space="0"/>
              <w:right w:val="single" w:color="auto" w:sz="4" w:space="0"/>
            </w:tcBorders>
            <w:vAlign w:val="center"/>
          </w:tcPr>
          <w:p w14:paraId="1F61804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0.0018</w:t>
            </w:r>
          </w:p>
        </w:tc>
      </w:tr>
      <w:tr w14:paraId="40ECDB32">
        <w:tblPrEx>
          <w:tblCellMar>
            <w:top w:w="0" w:type="dxa"/>
            <w:left w:w="108" w:type="dxa"/>
            <w:bottom w:w="0" w:type="dxa"/>
            <w:right w:w="108" w:type="dxa"/>
          </w:tblCellMar>
        </w:tblPrEx>
        <w:trPr>
          <w:trHeight w:val="408" w:hRule="atLeast"/>
          <w:jc w:val="center"/>
        </w:trPr>
        <w:tc>
          <w:tcPr>
            <w:tcW w:w="1883" w:type="dxa"/>
            <w:tcBorders>
              <w:top w:val="nil"/>
              <w:left w:val="single" w:color="auto" w:sz="4" w:space="0"/>
              <w:bottom w:val="single" w:color="auto" w:sz="4" w:space="0"/>
              <w:right w:val="single" w:color="auto" w:sz="4" w:space="0"/>
            </w:tcBorders>
            <w:vAlign w:val="center"/>
          </w:tcPr>
          <w:p w14:paraId="727601F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结论</w:t>
            </w:r>
          </w:p>
        </w:tc>
        <w:tc>
          <w:tcPr>
            <w:tcW w:w="1240" w:type="dxa"/>
            <w:tcBorders>
              <w:top w:val="single" w:color="auto" w:sz="4" w:space="0"/>
              <w:left w:val="nil"/>
              <w:bottom w:val="single" w:color="auto" w:sz="4" w:space="0"/>
              <w:right w:val="single" w:color="auto" w:sz="4" w:space="0"/>
            </w:tcBorders>
            <w:vAlign w:val="center"/>
          </w:tcPr>
          <w:p w14:paraId="34374E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稳定</w:t>
            </w:r>
          </w:p>
        </w:tc>
        <w:tc>
          <w:tcPr>
            <w:tcW w:w="1240" w:type="dxa"/>
            <w:tcBorders>
              <w:top w:val="single" w:color="auto" w:sz="4" w:space="0"/>
              <w:left w:val="nil"/>
              <w:bottom w:val="single" w:color="auto" w:sz="4" w:space="0"/>
              <w:right w:val="single" w:color="auto" w:sz="4" w:space="0"/>
            </w:tcBorders>
            <w:vAlign w:val="center"/>
          </w:tcPr>
          <w:p w14:paraId="48B8696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稳定</w:t>
            </w:r>
          </w:p>
        </w:tc>
        <w:tc>
          <w:tcPr>
            <w:tcW w:w="1240" w:type="dxa"/>
            <w:tcBorders>
              <w:top w:val="single" w:color="auto" w:sz="4" w:space="0"/>
              <w:left w:val="nil"/>
              <w:bottom w:val="single" w:color="auto" w:sz="4" w:space="0"/>
              <w:right w:val="single" w:color="auto" w:sz="4" w:space="0"/>
            </w:tcBorders>
            <w:vAlign w:val="center"/>
          </w:tcPr>
          <w:p w14:paraId="65AFB97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稳定</w:t>
            </w:r>
          </w:p>
        </w:tc>
        <w:tc>
          <w:tcPr>
            <w:tcW w:w="1240" w:type="dxa"/>
            <w:tcBorders>
              <w:top w:val="single" w:color="auto" w:sz="4" w:space="0"/>
              <w:left w:val="nil"/>
              <w:bottom w:val="single" w:color="auto" w:sz="4" w:space="0"/>
              <w:right w:val="single" w:color="auto" w:sz="4" w:space="0"/>
            </w:tcBorders>
            <w:vAlign w:val="center"/>
          </w:tcPr>
          <w:p w14:paraId="216A83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稳定</w:t>
            </w:r>
          </w:p>
        </w:tc>
        <w:tc>
          <w:tcPr>
            <w:tcW w:w="1240" w:type="dxa"/>
            <w:tcBorders>
              <w:top w:val="single" w:color="auto" w:sz="4" w:space="0"/>
              <w:left w:val="nil"/>
              <w:bottom w:val="single" w:color="auto" w:sz="4" w:space="0"/>
              <w:right w:val="single" w:color="auto" w:sz="4" w:space="0"/>
            </w:tcBorders>
            <w:vAlign w:val="center"/>
          </w:tcPr>
          <w:p w14:paraId="0E4BBE8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稳定</w:t>
            </w:r>
          </w:p>
        </w:tc>
        <w:tc>
          <w:tcPr>
            <w:tcW w:w="1243" w:type="dxa"/>
            <w:tcBorders>
              <w:top w:val="single" w:color="auto" w:sz="4" w:space="0"/>
              <w:left w:val="nil"/>
              <w:bottom w:val="single" w:color="auto" w:sz="4" w:space="0"/>
              <w:right w:val="single" w:color="auto" w:sz="4" w:space="0"/>
            </w:tcBorders>
            <w:vAlign w:val="center"/>
          </w:tcPr>
          <w:p w14:paraId="0AD8F99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稳定</w:t>
            </w:r>
          </w:p>
        </w:tc>
      </w:tr>
    </w:tbl>
    <w:p w14:paraId="59A1DADD">
      <w:pPr>
        <w:widowControl/>
        <w:kinsoku w:val="0"/>
        <w:autoSpaceDE w:val="0"/>
        <w:autoSpaceDN w:val="0"/>
        <w:snapToGrid w:val="0"/>
        <w:spacing w:line="360" w:lineRule="auto"/>
        <w:ind w:firstLine="396" w:firstLineChars="200"/>
        <w:textAlignment w:val="baseline"/>
        <w:rPr>
          <w:rFonts w:ascii="Times New Roman" w:hAnsi="Times New Roman"/>
          <w:spacing w:val="-6"/>
        </w:rPr>
      </w:pPr>
      <w:r>
        <w:rPr>
          <w:rFonts w:ascii="Times New Roman" w:hAnsi="Times New Roman"/>
          <w:spacing w:val="-6"/>
        </w:rPr>
        <w:t>因为|b</w:t>
      </w:r>
      <w:r>
        <w:rPr>
          <w:rFonts w:ascii="Times New Roman" w:hAnsi="Times New Roman"/>
          <w:spacing w:val="-6"/>
          <w:vertAlign w:val="subscript"/>
        </w:rPr>
        <w:t>1</w:t>
      </w:r>
      <w:r>
        <w:rPr>
          <w:rFonts w:ascii="Times New Roman" w:hAnsi="Times New Roman"/>
          <w:spacing w:val="-6"/>
        </w:rPr>
        <w:t>| &lt; t (0.95, n-2) s (b</w:t>
      </w:r>
      <w:r>
        <w:rPr>
          <w:rFonts w:ascii="Times New Roman" w:hAnsi="Times New Roman"/>
          <w:spacing w:val="-6"/>
          <w:vertAlign w:val="subscript"/>
        </w:rPr>
        <w:t>1</w:t>
      </w:r>
      <w:r>
        <w:rPr>
          <w:rFonts w:ascii="Times New Roman" w:hAnsi="Times New Roman"/>
          <w:spacing w:val="-6"/>
        </w:rPr>
        <w:t>)，故斜率并不显著，由表5得知，3级、5级、7级标准样照的色差值△E在检测时间内均未观测到明显的不稳定性。而且3级、5级、7级标准样照人员评定级别与真实级别全部一致。因此，各级标准样照在避光条件下保存21个月内呈稳定状态。</w:t>
      </w:r>
    </w:p>
    <w:p w14:paraId="315637FD">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.7  定值</w:t>
      </w:r>
    </w:p>
    <w:p w14:paraId="53AEA75F">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采用多个实验室协作试验定值。选择获得国家或省级部门认可的、具备资质的10个实验室进行样品定值。随机抽取10套标准样照，每个定值实验室各送1套（9张样照，编号分别为JXZ-1、JXZ-2、JXZ-3、JXZ-4、JXZ-5、JXZ-6、JXZ-7、JXZ-8、JXZ-9）、结果报告表以及有关要求的信息。所有实验室的检测人员依据农业行业标准NY/T 83-2017《米质测定方法》7.2.4碱消值分级进行样照中米粒的碱消值级别定值，平行测定6次。</w:t>
      </w:r>
    </w:p>
    <w:p w14:paraId="6E57C5C5">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通过10家实验室对标准样照的定值结果可得，所有实验室6次重复结果均一致，标准样照JXZ-1、JXZ-2、JXZ-3、JXZ-4、JXZ-5、JXZ-6、JXZ-7、JXZ-8、JXZ-9的碱消值级别分别定为3级、3级、3级、5级、5级、5级、7级、7级、7级。</w:t>
      </w:r>
    </w:p>
    <w:p w14:paraId="384B03BD">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.8  不确定度评估</w:t>
      </w:r>
    </w:p>
    <w:p w14:paraId="30DB362A">
      <w:pPr>
        <w:widowControl/>
        <w:kinsoku w:val="0"/>
        <w:autoSpaceDE w:val="0"/>
        <w:autoSpaceDN w:val="0"/>
        <w:snapToGrid w:val="0"/>
        <w:spacing w:line="360" w:lineRule="auto"/>
        <w:ind w:firstLine="396" w:firstLineChars="200"/>
        <w:textAlignment w:val="baseline"/>
        <w:rPr>
          <w:rFonts w:ascii="Times New Roman" w:hAnsi="Times New Roman" w:eastAsia="等线"/>
          <w:b/>
          <w:bCs/>
        </w:rPr>
      </w:pPr>
      <w:r>
        <w:rPr>
          <w:rFonts w:ascii="Times New Roman" w:hAnsi="Times New Roman"/>
          <w:spacing w:val="-6"/>
        </w:rPr>
        <w:t>因稻米碱消值为感官描述，定值时不考虑不确定度。</w:t>
      </w:r>
    </w:p>
    <w:p w14:paraId="64B9AE31">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B</w:t>
      </w:r>
      <w:r>
        <w:rPr>
          <w:rFonts w:ascii="Times New Roman" w:hAnsi="Times New Roman" w:eastAsia="黑体"/>
          <w:spacing w:val="-6"/>
        </w:rPr>
        <w:t>.9  文件要求</w:t>
      </w:r>
    </w:p>
    <w:p w14:paraId="425C6BD6">
      <w:pPr>
        <w:widowControl/>
        <w:kinsoku w:val="0"/>
        <w:autoSpaceDE w:val="0"/>
        <w:autoSpaceDN w:val="0"/>
        <w:snapToGrid w:val="0"/>
        <w:spacing w:line="360" w:lineRule="auto"/>
        <w:ind w:firstLine="396" w:firstLineChars="200"/>
        <w:textAlignment w:val="baseline"/>
        <w:rPr>
          <w:rFonts w:ascii="Times New Roman" w:hAnsi="Times New Roman"/>
          <w:spacing w:val="-6"/>
        </w:rPr>
      </w:pPr>
      <w:r>
        <w:rPr>
          <w:rFonts w:ascii="Times New Roman" w:hAnsi="Times New Roman"/>
          <w:spacing w:val="-6"/>
        </w:rPr>
        <w:t>证书中标明碱消值分级标准描述、预期用途及使用方法等。</w:t>
      </w:r>
    </w:p>
    <w:p w14:paraId="6EA1C901">
      <w:r>
        <w:rPr>
          <w:rFonts w:hint="eastAsia"/>
        </w:rPr>
        <w:br w:type="page"/>
      </w:r>
    </w:p>
    <w:p w14:paraId="4FA92A84">
      <w:pPr>
        <w:pStyle w:val="14"/>
        <w:widowControl/>
        <w:kinsoku w:val="0"/>
        <w:autoSpaceDE w:val="0"/>
        <w:autoSpaceDN w:val="0"/>
        <w:snapToGrid w:val="0"/>
        <w:spacing w:line="360" w:lineRule="auto"/>
        <w:jc w:val="center"/>
        <w:textAlignment w:val="baseline"/>
        <w:rPr>
          <w:rFonts w:ascii="Times New Roman" w:hAnsi="Times New Roman" w:eastAsia="黑体"/>
        </w:rPr>
      </w:pPr>
      <w:r>
        <w:rPr>
          <w:rFonts w:ascii="Times New Roman" w:hAnsi="Times New Roman" w:eastAsia="黑体"/>
          <w:spacing w:val="-9"/>
          <w:position w:val="8"/>
        </w:rPr>
        <w:t xml:space="preserve">附  录  </w:t>
      </w:r>
      <w:r>
        <w:rPr>
          <w:rFonts w:hint="eastAsia" w:ascii="Times New Roman" w:hAnsi="Times New Roman" w:eastAsia="黑体"/>
          <w:spacing w:val="-9"/>
          <w:position w:val="8"/>
        </w:rPr>
        <w:t>C</w:t>
      </w:r>
    </w:p>
    <w:p w14:paraId="27D0ED3C">
      <w:pPr>
        <w:widowControl/>
        <w:kinsoku w:val="0"/>
        <w:autoSpaceDE w:val="0"/>
        <w:autoSpaceDN w:val="0"/>
        <w:snapToGrid w:val="0"/>
        <w:spacing w:line="360" w:lineRule="auto"/>
        <w:jc w:val="center"/>
        <w:textAlignment w:val="baseline"/>
        <w:rPr>
          <w:rFonts w:ascii="Times New Roman" w:hAnsi="Times New Roman" w:eastAsia="黑体"/>
        </w:rPr>
      </w:pPr>
      <w:r>
        <w:rPr>
          <w:rFonts w:ascii="Times New Roman" w:hAnsi="Times New Roman" w:eastAsia="黑体"/>
          <w:spacing w:val="-2"/>
        </w:rPr>
        <w:t>(资料性)</w:t>
      </w:r>
    </w:p>
    <w:p w14:paraId="1529E420">
      <w:pPr>
        <w:pStyle w:val="240"/>
        <w:numPr>
          <w:ilvl w:val="0"/>
          <w:numId w:val="0"/>
        </w:numPr>
        <w:tabs>
          <w:tab w:val="clear" w:pos="1680"/>
        </w:tabs>
        <w:spacing w:line="360" w:lineRule="auto"/>
        <w:jc w:val="center"/>
        <w:rPr>
          <w:rFonts w:ascii="Times New Roman" w:hAnsi="Times New Roman"/>
          <w:snapToGrid w:val="0"/>
          <w:color w:val="000000"/>
          <w:spacing w:val="-2"/>
          <w:szCs w:val="21"/>
        </w:rPr>
      </w:pPr>
      <w:r>
        <w:rPr>
          <w:rFonts w:hint="eastAsia" w:ascii="Times New Roman" w:hAnsi="Times New Roman"/>
          <w:snapToGrid w:val="0"/>
          <w:color w:val="000000"/>
          <w:spacing w:val="-2"/>
          <w:szCs w:val="21"/>
        </w:rPr>
        <w:t>小麦不完善粒定性标准样品</w:t>
      </w:r>
    </w:p>
    <w:p w14:paraId="0321647D">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rPr>
      </w:pPr>
      <w:r>
        <w:rPr>
          <w:rFonts w:hint="eastAsia" w:ascii="Times New Roman" w:hAnsi="Times New Roman" w:eastAsia="黑体"/>
          <w:spacing w:val="-6"/>
        </w:rPr>
        <w:t>C</w:t>
      </w:r>
      <w:r>
        <w:rPr>
          <w:rFonts w:ascii="Times New Roman" w:hAnsi="Times New Roman" w:eastAsia="黑体"/>
          <w:spacing w:val="-6"/>
        </w:rPr>
        <w:t>.1  介绍</w:t>
      </w:r>
    </w:p>
    <w:p w14:paraId="3318C01D">
      <w:pPr>
        <w:widowControl/>
        <w:kinsoku w:val="0"/>
        <w:autoSpaceDE w:val="0"/>
        <w:autoSpaceDN w:val="0"/>
        <w:snapToGrid w:val="0"/>
        <w:spacing w:line="360" w:lineRule="auto"/>
        <w:ind w:firstLine="420" w:firstLineChars="200"/>
        <w:jc w:val="left"/>
        <w:textAlignment w:val="baseline"/>
        <w:rPr>
          <w:rFonts w:ascii="Times New Roman" w:hAnsi="Times New Roman"/>
          <w:snapToGrid w:val="0"/>
          <w:color w:val="000000"/>
          <w:kern w:val="0"/>
        </w:rPr>
      </w:pPr>
      <w:r>
        <w:rPr>
          <w:rFonts w:ascii="Times New Roman" w:hAnsi="Times New Roman"/>
          <w:snapToGrid w:val="0"/>
          <w:color w:val="000000"/>
          <w:kern w:val="0"/>
        </w:rPr>
        <w:t>中国是世界上最大的小麦生产国和消费国，</w:t>
      </w:r>
      <w:r>
        <w:rPr>
          <w:rFonts w:hint="eastAsia" w:ascii="Times New Roman" w:hAnsi="Times New Roman"/>
          <w:snapToGrid w:val="0"/>
          <w:color w:val="000000"/>
          <w:kern w:val="0"/>
        </w:rPr>
        <w:t>也</w:t>
      </w:r>
      <w:r>
        <w:rPr>
          <w:rFonts w:ascii="Times New Roman" w:hAnsi="Times New Roman"/>
          <w:snapToGrid w:val="0"/>
          <w:color w:val="000000"/>
          <w:kern w:val="0"/>
        </w:rPr>
        <w:t>是小麦的国际贸易大国</w:t>
      </w:r>
      <w:r>
        <w:rPr>
          <w:rFonts w:hint="eastAsia" w:ascii="Times New Roman" w:hAnsi="Times New Roman"/>
          <w:snapToGrid w:val="0"/>
          <w:color w:val="000000"/>
          <w:kern w:val="0"/>
        </w:rPr>
        <w:t>。在国际粮食贸易中，粮食价格直接与粮食等级挂钩，不完善粒等指标的含量直接影响经济利益。因此，小麦不完善粒项目的检验工作是维护国家和企业利益不可缺少的一部分。目前，小麦不完善粒项目的检验均是感官检验，检验技术人员的经验、眼光等人为因素直接影响检验结果。由于没有精密的仪器的辅助，小麦破碎的程度、发霉的程度等等这些在不完善粒检验中遇到的实际情况，均会因为不同的检验人员而产生误差，有时这些误差会直接导致结果不同，严重影响工作质量，不完善粒项目的检验工作需要配套的标准样品；另外，在实验室质量管理方面，由于小麦不完善粒的检验主观误差较大，没有相配套的标准样品，无法很好地开展实验室质量控制活动，制定相配套的不完善粒标准样品是非常必要的。</w:t>
      </w:r>
    </w:p>
    <w:p w14:paraId="578EF4EC">
      <w:pPr>
        <w:widowControl/>
        <w:kinsoku w:val="0"/>
        <w:autoSpaceDE w:val="0"/>
        <w:autoSpaceDN w:val="0"/>
        <w:snapToGrid w:val="0"/>
        <w:spacing w:line="360" w:lineRule="auto"/>
        <w:ind w:firstLine="420" w:firstLineChars="200"/>
        <w:jc w:val="left"/>
        <w:textAlignment w:val="baseline"/>
        <w:rPr>
          <w:rFonts w:ascii="Times New Roman" w:hAnsi="Times New Roman"/>
          <w:snapToGrid w:val="0"/>
          <w:color w:val="000000"/>
          <w:kern w:val="0"/>
        </w:rPr>
      </w:pPr>
      <w:r>
        <w:rPr>
          <w:rFonts w:hint="eastAsia" w:ascii="Times New Roman" w:hAnsi="Times New Roman"/>
          <w:snapToGrid w:val="0"/>
          <w:color w:val="000000"/>
          <w:kern w:val="0"/>
        </w:rPr>
        <w:t>标准样品是具有一种或多种性能特征，经过技术鉴定和标准化主管部门批准的实物标准。标准样品是科学地制定技术标准（文字）和有效地实施技术标准，控制和提高工农业产品质量，保证食品安全，保障人身健康和环境质量等的重要技术手段。标准样品是整个标准化工作的一个有机组成部分，它是那些需要用标准样品来定量或定性说明文字标准内容要求的物质体现，对标准的实施起着重要的保证作用。它一般被用于分析测试物质的质量评定与控制、校准分析仪器、评定确认分析方法、分析数据对比、产品质量评价、检验人员技能水平评定和进行技术仲裁等。由于其特有的均匀性、稳定性、直观性和准确性等优点，标准样品研究工作越来越得到各个相关领域专家的关注。</w:t>
      </w:r>
    </w:p>
    <w:p w14:paraId="2256F128">
      <w:pPr>
        <w:widowControl/>
        <w:kinsoku w:val="0"/>
        <w:autoSpaceDE w:val="0"/>
        <w:autoSpaceDN w:val="0"/>
        <w:snapToGrid w:val="0"/>
        <w:spacing w:line="360" w:lineRule="auto"/>
        <w:ind w:firstLine="420" w:firstLineChars="200"/>
        <w:jc w:val="left"/>
        <w:textAlignment w:val="baseline"/>
        <w:rPr>
          <w:rFonts w:ascii="Times New Roman" w:hAnsi="Times New Roman"/>
          <w:snapToGrid w:val="0"/>
          <w:color w:val="000000"/>
          <w:kern w:val="0"/>
        </w:rPr>
      </w:pPr>
      <w:r>
        <w:rPr>
          <w:rFonts w:hint="eastAsia" w:ascii="Times New Roman" w:hAnsi="Times New Roman"/>
          <w:snapToGrid w:val="0"/>
          <w:color w:val="000000"/>
          <w:kern w:val="0"/>
        </w:rPr>
        <w:t>因此，标准样品无疑在小麦不完善粒项目检验工作中发挥着重要的作用，是不完善粒标准定义的具体解释，统一判定目光，减少感官检验的主观误差；另外，小麦不完善粒标准样品为该检验领域开展质量控制活动提供可靠科学的物质基础，有利于实验室质量控制，有利于提高实验室质量管理水平，降低实验室检验结果准确性所存在的风险。制作小麦不完善粒标准样品的工作是非常有意义的。</w:t>
      </w:r>
    </w:p>
    <w:p w14:paraId="7C6E42D3">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2</w:t>
      </w:r>
      <w:r>
        <w:rPr>
          <w:rFonts w:ascii="Times New Roman" w:hAnsi="Times New Roman" w:eastAsia="黑体"/>
          <w:spacing w:val="-6"/>
        </w:rPr>
        <w:t xml:space="preserve">  </w:t>
      </w:r>
      <w:r>
        <w:rPr>
          <w:rFonts w:hint="eastAsia" w:ascii="Times New Roman" w:hAnsi="Times New Roman" w:eastAsia="黑体"/>
          <w:spacing w:val="-6"/>
        </w:rPr>
        <w:t>采样</w:t>
      </w:r>
    </w:p>
    <w:p w14:paraId="2D069ACE">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2</w:t>
      </w:r>
      <w:r>
        <w:rPr>
          <w:rFonts w:ascii="Times New Roman" w:hAnsi="Times New Roman" w:eastAsia="黑体"/>
          <w:spacing w:val="-6"/>
        </w:rPr>
        <w:t>.</w:t>
      </w:r>
      <w:r>
        <w:rPr>
          <w:rFonts w:hint="eastAsia" w:ascii="Times New Roman" w:hAnsi="Times New Roman" w:eastAsia="黑体"/>
          <w:spacing w:val="-6"/>
        </w:rPr>
        <w:t>1</w:t>
      </w:r>
      <w:r>
        <w:rPr>
          <w:rFonts w:ascii="Times New Roman" w:hAnsi="Times New Roman" w:eastAsia="黑体"/>
          <w:spacing w:val="-6"/>
        </w:rPr>
        <w:t xml:space="preserve"> </w:t>
      </w:r>
      <w:r>
        <w:rPr>
          <w:rFonts w:hint="eastAsia" w:ascii="Times New Roman" w:hAnsi="Times New Roman" w:eastAsia="黑体"/>
          <w:spacing w:val="-6"/>
        </w:rPr>
        <w:t>虫蚀粒的收集</w:t>
      </w:r>
    </w:p>
    <w:p w14:paraId="716D97F1">
      <w:pPr>
        <w:pStyle w:val="14"/>
        <w:widowControl/>
        <w:kinsoku w:val="0"/>
        <w:autoSpaceDE w:val="0"/>
        <w:autoSpaceDN w:val="0"/>
        <w:snapToGrid w:val="0"/>
        <w:spacing w:before="156" w:beforeLines="50" w:line="360" w:lineRule="auto"/>
        <w:ind w:firstLine="396" w:firstLineChars="200"/>
        <w:textAlignment w:val="baseline"/>
        <w:outlineLvl w:val="1"/>
        <w:rPr>
          <w:rFonts w:ascii="Times New Roman" w:hAnsi="Times New Roman"/>
          <w:snapToGrid w:val="0"/>
          <w:color w:val="000000"/>
          <w:spacing w:val="-6"/>
        </w:rPr>
      </w:pPr>
      <w:r>
        <w:rPr>
          <w:rFonts w:ascii="Times New Roman" w:hAnsi="Times New Roman"/>
          <w:snapToGrid w:val="0"/>
          <w:color w:val="000000"/>
          <w:spacing w:val="-6"/>
        </w:rPr>
        <w:t>本标准样品研制单位中国农业科学院作物科学研究所承担国家小麦产品质量安全风险评估项目、国家粮食产品质量安全专项监测、国家及部分省市小麦新品种区域试验品质分析和评价、不同小麦品种质量抽检、中试鉴评与分析、高产优质小麦质量评价研究等多个项目，近年共收集小麦样品5000余份，涵盖我国小麦主产区14个省份的冬、春小麦品种300余个。在本项标准样品研制过程中，研制单位结合日常的小麦品质检验工作，在上述5000余份样品中开展小麦虫蚀粒的收集和拣选，再将其置于干燥器中室温下保存，准备用于标准样品的筛选。</w:t>
      </w:r>
    </w:p>
    <w:p w14:paraId="146AE0DB">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2</w:t>
      </w:r>
      <w:r>
        <w:rPr>
          <w:rFonts w:ascii="Times New Roman" w:hAnsi="Times New Roman" w:eastAsia="黑体"/>
          <w:spacing w:val="-6"/>
        </w:rPr>
        <w:t>.</w:t>
      </w:r>
      <w:r>
        <w:rPr>
          <w:rFonts w:hint="eastAsia" w:ascii="Times New Roman" w:hAnsi="Times New Roman" w:eastAsia="黑体"/>
          <w:spacing w:val="-6"/>
        </w:rPr>
        <w:t>2</w:t>
      </w:r>
      <w:r>
        <w:rPr>
          <w:rFonts w:ascii="Times New Roman" w:hAnsi="Times New Roman" w:eastAsia="黑体"/>
          <w:spacing w:val="-6"/>
        </w:rPr>
        <w:t xml:space="preserve"> </w:t>
      </w:r>
      <w:r>
        <w:rPr>
          <w:rFonts w:hint="eastAsia" w:ascii="Times New Roman" w:hAnsi="Times New Roman" w:eastAsia="黑体"/>
          <w:spacing w:val="-6"/>
        </w:rPr>
        <w:t>病斑粒的收集</w:t>
      </w:r>
    </w:p>
    <w:p w14:paraId="6340DF0A">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本标准样品研制单位中国农业科学院作物科学研究所承担国家小麦产品质量安全风险评估项目、国家粮食产品质量安全专项监测、国家及部分省市小麦新品种区域试验品质分析和评价、不同小麦品种质量抽检、中试鉴评与分析、高产优质小麦质量评价研究等多个项目，近年共收集小麦样品5000余份，涵盖我国小麦主产区14个省份的冬、春小麦品种300余个。在本项标准样品研制过程中，研制单位结合日常的小麦品质检验工作，在上述5000余份样品中开展小麦病斑粒的收集和拣选（主要是黑胚粒），再将其置于干燥器中室温下保存，准备用于标准样品的筛选。</w:t>
      </w:r>
    </w:p>
    <w:p w14:paraId="4AB9664A">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同时，使用2012年在我国江苏淮安市、扬州市、徐州市、安徽省合肥市、宿州市、河南省南阳市、信阳市、漯河市、湖北省襄阳市、随州市等我国小麦赤霉病发病较重的省份田间收集的小麦赤霉病粒。田间收集时选择赤霉病发病田块，剪下不同发病程度的小麦病穗，自然晾干，实验室脱粒，这部分样品置于干燥器中室温下完好保存，准备用于标准样品的筛选。</w:t>
      </w:r>
    </w:p>
    <w:p w14:paraId="4595EEB0">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2</w:t>
      </w:r>
      <w:r>
        <w:rPr>
          <w:rFonts w:ascii="Times New Roman" w:hAnsi="Times New Roman" w:eastAsia="黑体"/>
          <w:spacing w:val="-6"/>
        </w:rPr>
        <w:t>.</w:t>
      </w:r>
      <w:r>
        <w:rPr>
          <w:rFonts w:hint="eastAsia" w:ascii="Times New Roman" w:hAnsi="Times New Roman" w:eastAsia="黑体"/>
          <w:spacing w:val="-6"/>
        </w:rPr>
        <w:t>3</w:t>
      </w:r>
      <w:r>
        <w:rPr>
          <w:rFonts w:ascii="Times New Roman" w:hAnsi="Times New Roman" w:eastAsia="黑体"/>
          <w:spacing w:val="-6"/>
        </w:rPr>
        <w:t xml:space="preserve"> </w:t>
      </w:r>
      <w:r>
        <w:rPr>
          <w:rFonts w:hint="eastAsia" w:ascii="Times New Roman" w:hAnsi="Times New Roman" w:eastAsia="黑体"/>
          <w:spacing w:val="-6"/>
        </w:rPr>
        <w:t>破损粒的收集</w:t>
      </w:r>
    </w:p>
    <w:p w14:paraId="23F2AC8F">
      <w:pPr>
        <w:spacing w:line="360" w:lineRule="auto"/>
        <w:ind w:firstLine="396" w:firstLineChars="200"/>
        <w:rPr>
          <w:sz w:val="24"/>
        </w:rPr>
      </w:pPr>
      <w:r>
        <w:rPr>
          <w:rFonts w:ascii="Times New Roman" w:hAnsi="Times New Roman"/>
          <w:snapToGrid w:val="0"/>
          <w:color w:val="000000"/>
          <w:spacing w:val="-6"/>
        </w:rPr>
        <w:t>本标准样品研制单位中国农业科学院作物科学研究所承担国家小麦产品质量安全风险评估项目、国家粮食产品质量安全专项监测、国家及部分省市小麦新品种区域试验品质分析和评价、不同小麦品种质量抽检、中试鉴评与分析、高产优质小麦质量评价研究等多个项目，近年共收集小麦样品5000余份，涵盖我国小麦主产区14个省份的冬、春小麦品种300余个。在本项标准样品研制过程中，研制单位结合日常的小麦品质检验工作，在上述5000余份样品中开展小麦破损粒的收集和拣选，再将其置于干燥器中室温下保存，准备用于标准样品的筛选。</w:t>
      </w:r>
    </w:p>
    <w:p w14:paraId="2FD29C87">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2</w:t>
      </w:r>
      <w:r>
        <w:rPr>
          <w:rFonts w:ascii="Times New Roman" w:hAnsi="Times New Roman" w:eastAsia="黑体"/>
          <w:spacing w:val="-6"/>
        </w:rPr>
        <w:t>.</w:t>
      </w:r>
      <w:r>
        <w:rPr>
          <w:rFonts w:hint="eastAsia" w:ascii="Times New Roman" w:hAnsi="Times New Roman" w:eastAsia="黑体"/>
          <w:spacing w:val="-6"/>
        </w:rPr>
        <w:t>4</w:t>
      </w:r>
      <w:r>
        <w:rPr>
          <w:rFonts w:ascii="Times New Roman" w:hAnsi="Times New Roman" w:eastAsia="黑体"/>
          <w:spacing w:val="-6"/>
        </w:rPr>
        <w:t xml:space="preserve"> </w:t>
      </w:r>
      <w:r>
        <w:rPr>
          <w:rFonts w:hint="eastAsia" w:ascii="Times New Roman" w:hAnsi="Times New Roman" w:eastAsia="黑体"/>
          <w:spacing w:val="-6"/>
        </w:rPr>
        <w:t>生芽粒的收集</w:t>
      </w:r>
    </w:p>
    <w:p w14:paraId="3DCBB1D2">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根据小麦发生生芽粒的原因，挑选完好小麦，在适合的温湿度下进行培养，按设定的时间段进行收集，最后汇总，按不同的生芽程度进行归类。</w:t>
      </w:r>
    </w:p>
    <w:p w14:paraId="4A71A9C5">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在制作生芽粒前，首先做好准备工作，包括选择小麦生芽的环境、培养器皿等，其次设有专门人员负责日常管理。</w:t>
      </w:r>
    </w:p>
    <w:p w14:paraId="058AB44D">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制作的具体方法：挑选大小适中的正常小麦，清理、除杂，在培养皿中铺放2-3层滤纸，注入清水，达到饱和为止，将种子均匀置于滤纸上，盖上盖子，置于人工气候箱中，20</w:t>
      </w:r>
      <w:r>
        <w:rPr>
          <w:rFonts w:hint="eastAsia" w:ascii="Times New Roman" w:hAnsi="Times New Roman"/>
          <w:snapToGrid w:val="0"/>
          <w:color w:val="000000"/>
          <w:spacing w:val="-6"/>
        </w:rPr>
        <w:t>℃</w:t>
      </w:r>
      <w:r>
        <w:rPr>
          <w:rFonts w:ascii="Times New Roman" w:hAnsi="Times New Roman"/>
          <w:snapToGrid w:val="0"/>
          <w:color w:val="000000"/>
          <w:spacing w:val="-6"/>
        </w:rPr>
        <w:t xml:space="preserve">条件下培养，及时观察并按不同的生芽程度进行收集和晾干，准备用于标准样品的筛选（培养皿、滤纸等用具及水等均应消毒）。 </w:t>
      </w:r>
    </w:p>
    <w:p w14:paraId="35339742">
      <w:pPr>
        <w:pStyle w:val="14"/>
        <w:widowControl/>
        <w:kinsoku w:val="0"/>
        <w:autoSpaceDE w:val="0"/>
        <w:autoSpaceDN w:val="0"/>
        <w:snapToGrid w:val="0"/>
        <w:spacing w:before="156" w:beforeLines="50" w:line="360" w:lineRule="auto"/>
        <w:textAlignment w:val="baseline"/>
        <w:outlineLvl w:val="1"/>
        <w:rPr>
          <w:rFonts w:ascii="Times New Roman" w:hAnsi="Times New Roman"/>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2</w:t>
      </w:r>
      <w:r>
        <w:rPr>
          <w:rFonts w:ascii="Times New Roman" w:hAnsi="Times New Roman" w:eastAsia="黑体"/>
          <w:spacing w:val="-6"/>
        </w:rPr>
        <w:t>.</w:t>
      </w:r>
      <w:r>
        <w:rPr>
          <w:rFonts w:hint="eastAsia" w:ascii="Times New Roman" w:hAnsi="Times New Roman" w:eastAsia="黑体"/>
          <w:spacing w:val="-6"/>
        </w:rPr>
        <w:t>5</w:t>
      </w:r>
      <w:r>
        <w:rPr>
          <w:rFonts w:ascii="Times New Roman" w:hAnsi="Times New Roman" w:eastAsia="黑体"/>
          <w:spacing w:val="-6"/>
        </w:rPr>
        <w:t xml:space="preserve"> </w:t>
      </w:r>
      <w:r>
        <w:rPr>
          <w:rFonts w:hint="eastAsia" w:ascii="Times New Roman" w:hAnsi="Times New Roman" w:eastAsia="黑体"/>
          <w:spacing w:val="-6"/>
        </w:rPr>
        <w:t>生霉粒的收集</w:t>
      </w:r>
    </w:p>
    <w:p w14:paraId="173E9C0A">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根据小麦发生生霉粒的原因，挑选完好小麦，在适合的温湿度下进行培养，按设定的时间段进行收集，最后汇总，按不同的生霉程度进行归类。</w:t>
      </w:r>
    </w:p>
    <w:p w14:paraId="57F4F609">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在制作生霉粒前，首先做好准备工作，包括选择小麦生霉的环境、培养器皿等，其次设有专门人员负责日常管理。</w:t>
      </w:r>
    </w:p>
    <w:p w14:paraId="6B8F9F45">
      <w:pPr>
        <w:spacing w:line="360" w:lineRule="auto"/>
        <w:ind w:left="1" w:firstLine="396" w:firstLineChars="200"/>
        <w:rPr>
          <w:rFonts w:ascii="Times New Roman" w:hAnsi="Times New Roman"/>
          <w:snapToGrid w:val="0"/>
          <w:color w:val="000000"/>
          <w:spacing w:val="-6"/>
        </w:rPr>
      </w:pPr>
      <w:r>
        <w:rPr>
          <w:rFonts w:ascii="Times New Roman" w:hAnsi="Times New Roman"/>
          <w:snapToGrid w:val="0"/>
          <w:color w:val="000000"/>
          <w:spacing w:val="-6"/>
        </w:rPr>
        <w:t>制作的具体方法：挑选大小适中的正常小麦，经清理、除杂后，采用喷雾着水法，边加水边搅拌，使小麦水分达14%～15%，然后装入具盖广口瓶中，置入45</w:t>
      </w:r>
      <w:r>
        <w:rPr>
          <w:rFonts w:hint="eastAsia" w:ascii="Times New Roman" w:hAnsi="Times New Roman"/>
          <w:snapToGrid w:val="0"/>
          <w:color w:val="000000"/>
          <w:spacing w:val="-6"/>
        </w:rPr>
        <w:t>℃</w:t>
      </w:r>
      <w:r>
        <w:rPr>
          <w:rFonts w:ascii="Times New Roman" w:hAnsi="Times New Roman"/>
          <w:snapToGrid w:val="0"/>
          <w:color w:val="000000"/>
          <w:spacing w:val="-6"/>
        </w:rPr>
        <w:t>人工气候箱中，定期观察直至发现粒面生霉，收集，晾干，准备用于标准样品的筛选。</w:t>
      </w:r>
    </w:p>
    <w:p w14:paraId="7FDDF866">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3</w:t>
      </w:r>
      <w:r>
        <w:rPr>
          <w:rFonts w:ascii="Times New Roman" w:hAnsi="Times New Roman" w:eastAsia="黑体"/>
          <w:spacing w:val="-6"/>
        </w:rPr>
        <w:t xml:space="preserve">  </w:t>
      </w:r>
      <w:r>
        <w:rPr>
          <w:rFonts w:hint="eastAsia" w:ascii="Times New Roman" w:hAnsi="Times New Roman" w:eastAsia="黑体"/>
          <w:spacing w:val="-6"/>
        </w:rPr>
        <w:t>加工制备</w:t>
      </w:r>
    </w:p>
    <w:p w14:paraId="018F5546">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 xml:space="preserve">.3.1 </w:t>
      </w:r>
      <w:r>
        <w:rPr>
          <w:rFonts w:hint="eastAsia" w:ascii="Times New Roman" w:hAnsi="Times New Roman" w:eastAsia="黑体"/>
          <w:spacing w:val="-6"/>
        </w:rPr>
        <w:t>候选小麦</w:t>
      </w:r>
      <w:r>
        <w:rPr>
          <w:rFonts w:ascii="Times New Roman" w:hAnsi="Times New Roman" w:eastAsia="黑体"/>
          <w:spacing w:val="-6"/>
        </w:rPr>
        <w:t>不完善粒标准样品筛选</w:t>
      </w:r>
    </w:p>
    <w:p w14:paraId="72C7076A">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筛选过程具体包括：1）初筛：主要是针对制备得到的候选不完善粒样品进行初步筛选，选出符合该类型不完善粒特征的样品。2）细筛：细筛过程关注样品个体间判定特征的细微差别。</w:t>
      </w:r>
    </w:p>
    <w:p w14:paraId="5874550F">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.3.</w:t>
      </w:r>
      <w:r>
        <w:rPr>
          <w:rFonts w:hint="eastAsia" w:ascii="Times New Roman" w:hAnsi="Times New Roman" w:eastAsia="黑体"/>
          <w:spacing w:val="-6"/>
        </w:rPr>
        <w:t>1.1</w:t>
      </w:r>
      <w:r>
        <w:rPr>
          <w:rFonts w:ascii="Times New Roman" w:hAnsi="Times New Roman" w:eastAsia="黑体"/>
          <w:spacing w:val="-6"/>
        </w:rPr>
        <w:t xml:space="preserve"> </w:t>
      </w:r>
      <w:r>
        <w:rPr>
          <w:rFonts w:hint="eastAsia" w:ascii="Times New Roman" w:hAnsi="Times New Roman" w:eastAsia="黑体"/>
          <w:spacing w:val="-6"/>
        </w:rPr>
        <w:t>虫蚀粒的遴选</w:t>
      </w:r>
    </w:p>
    <w:p w14:paraId="01F006E1">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将收集的小麦虫蚀粒样品倒在白磁盘中进行初筛。初筛的过程主要根据小麦胚及胚乳是否被虫蛀蚀逐一挑选，将挑选的种子准备进行细筛。经细筛后，得到的虫蚀粒分为5种类型：</w:t>
      </w:r>
    </w:p>
    <w:p w14:paraId="7044A4D3">
      <w:pPr>
        <w:pStyle w:val="14"/>
        <w:widowControl/>
        <w:numPr>
          <w:ilvl w:val="0"/>
          <w:numId w:val="34"/>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为害状呈蛀孔，为害程度轻；</w:t>
      </w:r>
    </w:p>
    <w:p w14:paraId="1474309D">
      <w:pPr>
        <w:pStyle w:val="14"/>
        <w:widowControl/>
        <w:numPr>
          <w:ilvl w:val="0"/>
          <w:numId w:val="34"/>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为害状呈蛀孔，为害程度重；</w:t>
      </w:r>
    </w:p>
    <w:p w14:paraId="4879A81D">
      <w:pPr>
        <w:pStyle w:val="14"/>
        <w:widowControl/>
        <w:numPr>
          <w:ilvl w:val="0"/>
          <w:numId w:val="34"/>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为害状呈隧道，为害程度轻；</w:t>
      </w:r>
    </w:p>
    <w:p w14:paraId="7E333966">
      <w:pPr>
        <w:pStyle w:val="14"/>
        <w:widowControl/>
        <w:numPr>
          <w:ilvl w:val="0"/>
          <w:numId w:val="34"/>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为害状呈隧道，为害程度重；</w:t>
      </w:r>
    </w:p>
    <w:p w14:paraId="0E2DE83B">
      <w:pPr>
        <w:pStyle w:val="14"/>
        <w:widowControl/>
        <w:numPr>
          <w:ilvl w:val="0"/>
          <w:numId w:val="34"/>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胚部被虫蛀蚀。</w:t>
      </w:r>
    </w:p>
    <w:p w14:paraId="1232E1C0">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.3.</w:t>
      </w:r>
      <w:r>
        <w:rPr>
          <w:rFonts w:hint="eastAsia" w:ascii="Times New Roman" w:hAnsi="Times New Roman" w:eastAsia="黑体"/>
          <w:spacing w:val="-6"/>
        </w:rPr>
        <w:t>1.2</w:t>
      </w:r>
      <w:r>
        <w:rPr>
          <w:rFonts w:ascii="Times New Roman" w:hAnsi="Times New Roman" w:eastAsia="黑体"/>
          <w:spacing w:val="-6"/>
        </w:rPr>
        <w:t xml:space="preserve"> </w:t>
      </w:r>
      <w:r>
        <w:rPr>
          <w:rFonts w:hint="eastAsia" w:ascii="Times New Roman" w:hAnsi="Times New Roman" w:eastAsia="黑体"/>
          <w:spacing w:val="-6"/>
        </w:rPr>
        <w:t>病斑粒的遴选</w:t>
      </w:r>
    </w:p>
    <w:p w14:paraId="450B2CB6">
      <w:pPr>
        <w:spacing w:line="360" w:lineRule="auto"/>
        <w:ind w:firstLine="396" w:firstLineChars="200"/>
        <w:rPr>
          <w:rFonts w:ascii="Times New Roman" w:hAnsi="Times New Roman"/>
          <w:snapToGrid w:val="0"/>
          <w:color w:val="000000"/>
          <w:spacing w:val="-6"/>
        </w:rPr>
      </w:pPr>
      <w:r>
        <w:rPr>
          <w:rFonts w:hint="eastAsia" w:ascii="Times New Roman" w:hAnsi="Times New Roman"/>
          <w:snapToGrid w:val="0"/>
          <w:color w:val="000000"/>
          <w:spacing w:val="-6"/>
        </w:rPr>
        <w:t>将收集的小麦病斑粒样品倒在白磁盘中进行初筛。初筛的过程主要根据小麦粒面是否带有病斑，并伤及胚或胚乳进行挑选，并对黑胚粒和赤霉病</w:t>
      </w:r>
      <w:r>
        <w:rPr>
          <w:rFonts w:ascii="Times New Roman" w:hAnsi="Times New Roman"/>
          <w:snapToGrid w:val="0"/>
          <w:color w:val="000000"/>
          <w:spacing w:val="-6"/>
        </w:rPr>
        <w:t>粒</w:t>
      </w:r>
      <w:r>
        <w:rPr>
          <w:rFonts w:hint="eastAsia" w:ascii="Times New Roman" w:hAnsi="Times New Roman"/>
          <w:snapToGrid w:val="0"/>
          <w:color w:val="000000"/>
          <w:spacing w:val="-6"/>
        </w:rPr>
        <w:t>分别做好标识，将分类的种子准备进行细筛。经细筛后，得到的病斑粒分为以下几种类型：</w:t>
      </w:r>
    </w:p>
    <w:p w14:paraId="58BF112A">
      <w:pPr>
        <w:numPr>
          <w:ilvl w:val="0"/>
          <w:numId w:val="35"/>
        </w:numPr>
        <w:spacing w:line="360" w:lineRule="auto"/>
        <w:rPr>
          <w:rFonts w:ascii="Times New Roman" w:hAnsi="Times New Roman"/>
          <w:snapToGrid w:val="0"/>
          <w:color w:val="000000"/>
          <w:spacing w:val="-6"/>
        </w:rPr>
      </w:pPr>
      <w:r>
        <w:rPr>
          <w:rFonts w:hint="eastAsia" w:ascii="Times New Roman" w:hAnsi="Times New Roman"/>
          <w:snapToGrid w:val="0"/>
          <w:color w:val="000000"/>
          <w:spacing w:val="-6"/>
        </w:rPr>
        <w:t>黑胚</w:t>
      </w:r>
      <w:r>
        <w:rPr>
          <w:rFonts w:ascii="Times New Roman" w:hAnsi="Times New Roman"/>
          <w:snapToGrid w:val="0"/>
          <w:color w:val="000000"/>
          <w:spacing w:val="-6"/>
        </w:rPr>
        <w:t>粒</w:t>
      </w:r>
    </w:p>
    <w:p w14:paraId="35026A4D">
      <w:pPr>
        <w:numPr>
          <w:ilvl w:val="0"/>
          <w:numId w:val="36"/>
        </w:numPr>
        <w:spacing w:line="360" w:lineRule="auto"/>
        <w:ind w:firstLine="396" w:firstLineChars="200"/>
        <w:rPr>
          <w:rFonts w:ascii="Times New Roman" w:hAnsi="Times New Roman"/>
          <w:snapToGrid w:val="0"/>
          <w:color w:val="000000"/>
          <w:spacing w:val="-6"/>
        </w:rPr>
      </w:pPr>
      <w:r>
        <w:rPr>
          <w:rFonts w:hint="eastAsia" w:ascii="Times New Roman" w:hAnsi="Times New Roman"/>
          <w:snapToGrid w:val="0"/>
          <w:color w:val="000000"/>
          <w:spacing w:val="-6"/>
        </w:rPr>
        <w:t>黑尖粒：胚部及胚周围呈深褐色或黑色并伤及胚，分为害程度轻、重两种情况；</w:t>
      </w:r>
    </w:p>
    <w:p w14:paraId="38B4D0FB">
      <w:pPr>
        <w:numPr>
          <w:ilvl w:val="0"/>
          <w:numId w:val="36"/>
        </w:numPr>
        <w:spacing w:line="360" w:lineRule="auto"/>
        <w:ind w:firstLine="396" w:firstLineChars="200"/>
        <w:rPr>
          <w:rFonts w:ascii="Times New Roman" w:hAnsi="Times New Roman"/>
          <w:snapToGrid w:val="0"/>
          <w:color w:val="000000"/>
          <w:spacing w:val="-6"/>
        </w:rPr>
      </w:pPr>
      <w:r>
        <w:rPr>
          <w:rFonts w:hint="eastAsia" w:ascii="Times New Roman" w:hAnsi="Times New Roman"/>
          <w:snapToGrid w:val="0"/>
          <w:color w:val="000000"/>
          <w:spacing w:val="-6"/>
        </w:rPr>
        <w:t>黑斑粒：胚和胚乳表面呈深褐色或黑色斑块，斑块累积超过籽粒表面积二分之一以上，或超过腹沟二分之一以上，分为害程度轻、重两种情况。</w:t>
      </w:r>
    </w:p>
    <w:p w14:paraId="0BC21231">
      <w:pPr>
        <w:numPr>
          <w:ilvl w:val="0"/>
          <w:numId w:val="35"/>
        </w:numPr>
        <w:spacing w:line="360" w:lineRule="auto"/>
        <w:rPr>
          <w:rFonts w:ascii="Times New Roman" w:hAnsi="Times New Roman"/>
          <w:snapToGrid w:val="0"/>
          <w:color w:val="000000"/>
          <w:spacing w:val="-6"/>
        </w:rPr>
      </w:pPr>
      <w:r>
        <w:rPr>
          <w:rFonts w:hint="eastAsia" w:ascii="Times New Roman" w:hAnsi="Times New Roman"/>
          <w:snapToGrid w:val="0"/>
          <w:color w:val="000000"/>
          <w:spacing w:val="-6"/>
        </w:rPr>
        <w:t>赤霉病</w:t>
      </w:r>
      <w:r>
        <w:rPr>
          <w:rFonts w:ascii="Times New Roman" w:hAnsi="Times New Roman"/>
          <w:snapToGrid w:val="0"/>
          <w:color w:val="000000"/>
          <w:spacing w:val="-6"/>
        </w:rPr>
        <w:t>粒</w:t>
      </w:r>
    </w:p>
    <w:p w14:paraId="2F408F95">
      <w:pPr>
        <w:numPr>
          <w:ilvl w:val="0"/>
          <w:numId w:val="37"/>
        </w:numPr>
        <w:spacing w:line="360" w:lineRule="auto"/>
        <w:ind w:firstLine="396" w:firstLineChars="200"/>
        <w:rPr>
          <w:rFonts w:ascii="Times New Roman" w:hAnsi="Times New Roman"/>
          <w:snapToGrid w:val="0"/>
          <w:color w:val="000000"/>
          <w:spacing w:val="-6"/>
        </w:rPr>
      </w:pPr>
      <w:r>
        <w:rPr>
          <w:rFonts w:hint="eastAsia" w:ascii="Times New Roman" w:hAnsi="Times New Roman"/>
          <w:snapToGrid w:val="0"/>
          <w:color w:val="000000"/>
          <w:spacing w:val="-6"/>
        </w:rPr>
        <w:t>籽粒皱缩，呆白；</w:t>
      </w:r>
    </w:p>
    <w:p w14:paraId="5AD1204B">
      <w:pPr>
        <w:numPr>
          <w:ilvl w:val="0"/>
          <w:numId w:val="37"/>
        </w:numPr>
        <w:spacing w:line="360" w:lineRule="auto"/>
        <w:ind w:firstLine="396" w:firstLineChars="200"/>
        <w:rPr>
          <w:rFonts w:ascii="Times New Roman" w:hAnsi="Times New Roman"/>
          <w:snapToGrid w:val="0"/>
          <w:color w:val="000000"/>
          <w:spacing w:val="-6"/>
        </w:rPr>
      </w:pPr>
      <w:r>
        <w:rPr>
          <w:rFonts w:hint="eastAsia" w:ascii="Times New Roman" w:hAnsi="Times New Roman"/>
          <w:snapToGrid w:val="0"/>
          <w:color w:val="000000"/>
          <w:spacing w:val="-6"/>
        </w:rPr>
        <w:t>粒面呈紫色，或有明显的粉红色霉状物，间有黑色子囊壳，为害程度轻；</w:t>
      </w:r>
    </w:p>
    <w:p w14:paraId="23D0BCEE">
      <w:pPr>
        <w:numPr>
          <w:ilvl w:val="0"/>
          <w:numId w:val="37"/>
        </w:numPr>
        <w:spacing w:line="360" w:lineRule="auto"/>
        <w:ind w:firstLine="396" w:firstLineChars="200"/>
        <w:rPr>
          <w:rFonts w:ascii="Times New Roman" w:hAnsi="Times New Roman"/>
          <w:snapToGrid w:val="0"/>
          <w:color w:val="000000"/>
          <w:spacing w:val="-6"/>
        </w:rPr>
      </w:pPr>
      <w:r>
        <w:rPr>
          <w:rFonts w:hint="eastAsia" w:ascii="Times New Roman" w:hAnsi="Times New Roman"/>
          <w:snapToGrid w:val="0"/>
          <w:color w:val="000000"/>
          <w:spacing w:val="-6"/>
        </w:rPr>
        <w:t>粒面呈紫色，或有明显的粉红色霉状物，间有黑色子囊壳，为害程度中；</w:t>
      </w:r>
    </w:p>
    <w:p w14:paraId="19ECCE94">
      <w:pPr>
        <w:numPr>
          <w:ilvl w:val="0"/>
          <w:numId w:val="37"/>
        </w:numPr>
        <w:spacing w:line="360" w:lineRule="auto"/>
        <w:ind w:firstLine="396" w:firstLineChars="200"/>
        <w:rPr>
          <w:rFonts w:ascii="Times New Roman" w:hAnsi="Times New Roman"/>
          <w:snapToGrid w:val="0"/>
          <w:color w:val="000000"/>
          <w:spacing w:val="-6"/>
        </w:rPr>
      </w:pPr>
      <w:r>
        <w:rPr>
          <w:rFonts w:hint="eastAsia" w:ascii="Times New Roman" w:hAnsi="Times New Roman"/>
          <w:snapToGrid w:val="0"/>
          <w:color w:val="000000"/>
          <w:spacing w:val="-6"/>
        </w:rPr>
        <w:t>粒面呈紫色，或有明显的粉红色霉状物，间有黑色子囊壳，为害程度重。</w:t>
      </w:r>
    </w:p>
    <w:p w14:paraId="2CBDCE9F">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.3.</w:t>
      </w:r>
      <w:r>
        <w:rPr>
          <w:rFonts w:hint="eastAsia" w:ascii="Times New Roman" w:hAnsi="Times New Roman" w:eastAsia="黑体"/>
          <w:spacing w:val="-6"/>
        </w:rPr>
        <w:t>1.3破损粒的遴选</w:t>
      </w:r>
    </w:p>
    <w:p w14:paraId="08AC6ED9">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将收集的小麦破损粒样品倒在白磁盘中进行初筛。初筛的过程主要根据小麦籽粒破损程度是否伤及胚和胚乳。将挑选的种子准备进行细筛。经过初、细筛后，破损粒分为2种类型：</w:t>
      </w:r>
    </w:p>
    <w:p w14:paraId="5A254070">
      <w:pPr>
        <w:numPr>
          <w:ilvl w:val="0"/>
          <w:numId w:val="38"/>
        </w:numPr>
        <w:spacing w:line="360" w:lineRule="auto"/>
        <w:rPr>
          <w:rFonts w:ascii="Times New Roman" w:hAnsi="Times New Roman"/>
          <w:snapToGrid w:val="0"/>
          <w:color w:val="000000"/>
          <w:spacing w:val="-6"/>
        </w:rPr>
      </w:pPr>
      <w:r>
        <w:rPr>
          <w:rFonts w:ascii="Times New Roman" w:hAnsi="Times New Roman"/>
          <w:snapToGrid w:val="0"/>
          <w:color w:val="000000"/>
          <w:spacing w:val="-6"/>
        </w:rPr>
        <w:t>破碎并伤及胚或胚乳的颗粒；</w:t>
      </w:r>
    </w:p>
    <w:p w14:paraId="6225FF13">
      <w:pPr>
        <w:numPr>
          <w:ilvl w:val="0"/>
          <w:numId w:val="38"/>
        </w:numPr>
        <w:spacing w:line="360" w:lineRule="auto"/>
        <w:rPr>
          <w:rFonts w:ascii="Times New Roman" w:hAnsi="Times New Roman"/>
          <w:snapToGrid w:val="0"/>
          <w:color w:val="000000"/>
          <w:spacing w:val="-6"/>
        </w:rPr>
      </w:pPr>
      <w:r>
        <w:rPr>
          <w:rFonts w:ascii="Times New Roman" w:hAnsi="Times New Roman"/>
          <w:snapToGrid w:val="0"/>
          <w:color w:val="000000"/>
          <w:spacing w:val="-6"/>
        </w:rPr>
        <w:t>压扁并伤及胚或胚乳的颗粒。</w:t>
      </w:r>
    </w:p>
    <w:p w14:paraId="66B75571">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.3.</w:t>
      </w:r>
      <w:r>
        <w:rPr>
          <w:rFonts w:hint="eastAsia" w:ascii="Times New Roman" w:hAnsi="Times New Roman" w:eastAsia="黑体"/>
          <w:spacing w:val="-6"/>
        </w:rPr>
        <w:t>1.4</w:t>
      </w:r>
      <w:r>
        <w:rPr>
          <w:rFonts w:ascii="Times New Roman" w:hAnsi="Times New Roman" w:eastAsia="黑体"/>
          <w:spacing w:val="-6"/>
        </w:rPr>
        <w:t xml:space="preserve"> </w:t>
      </w:r>
      <w:r>
        <w:rPr>
          <w:rFonts w:hint="eastAsia" w:ascii="Times New Roman" w:hAnsi="Times New Roman" w:eastAsia="黑体"/>
          <w:spacing w:val="-6"/>
        </w:rPr>
        <w:t>生芽粒的遴选</w:t>
      </w:r>
    </w:p>
    <w:p w14:paraId="2255AC37">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将制备的小麦生芽粒样品倒在白磁盘中进行初筛。初筛的过程主要根据小麦生芽程度进行归类，并逐一做好标识，将分类的种子准备进行细筛。经筛选后，得到的生芽粒分为3种类型：</w:t>
      </w:r>
    </w:p>
    <w:p w14:paraId="4BBC7D7E">
      <w:pPr>
        <w:numPr>
          <w:ilvl w:val="0"/>
          <w:numId w:val="39"/>
        </w:numPr>
        <w:spacing w:line="360" w:lineRule="auto"/>
        <w:rPr>
          <w:rFonts w:ascii="Times New Roman" w:hAnsi="Times New Roman"/>
          <w:snapToGrid w:val="0"/>
          <w:color w:val="000000"/>
          <w:spacing w:val="-6"/>
        </w:rPr>
      </w:pPr>
      <w:r>
        <w:rPr>
          <w:rFonts w:ascii="Times New Roman" w:hAnsi="Times New Roman"/>
          <w:snapToGrid w:val="0"/>
          <w:color w:val="000000"/>
          <w:spacing w:val="-6"/>
        </w:rPr>
        <w:t>胚部种皮已破裂；</w:t>
      </w:r>
    </w:p>
    <w:p w14:paraId="19271781">
      <w:pPr>
        <w:numPr>
          <w:ilvl w:val="0"/>
          <w:numId w:val="39"/>
        </w:numPr>
        <w:spacing w:line="360" w:lineRule="auto"/>
        <w:rPr>
          <w:rFonts w:ascii="Times New Roman" w:hAnsi="Times New Roman"/>
          <w:snapToGrid w:val="0"/>
          <w:color w:val="000000"/>
          <w:spacing w:val="-6"/>
        </w:rPr>
      </w:pPr>
      <w:r>
        <w:rPr>
          <w:rFonts w:ascii="Times New Roman" w:hAnsi="Times New Roman"/>
          <w:snapToGrid w:val="0"/>
          <w:color w:val="000000"/>
          <w:spacing w:val="-6"/>
        </w:rPr>
        <w:t>芽或幼根突破种皮不超过本颗粒长度；</w:t>
      </w:r>
    </w:p>
    <w:p w14:paraId="0BBD6358">
      <w:pPr>
        <w:numPr>
          <w:ilvl w:val="0"/>
          <w:numId w:val="39"/>
        </w:numPr>
        <w:spacing w:line="360" w:lineRule="auto"/>
        <w:rPr>
          <w:rFonts w:ascii="Times New Roman" w:hAnsi="Times New Roman"/>
          <w:snapToGrid w:val="0"/>
          <w:color w:val="000000"/>
          <w:spacing w:val="-6"/>
        </w:rPr>
      </w:pPr>
      <w:r>
        <w:rPr>
          <w:rFonts w:ascii="Times New Roman" w:hAnsi="Times New Roman"/>
          <w:snapToGrid w:val="0"/>
          <w:color w:val="000000"/>
          <w:spacing w:val="-6"/>
        </w:rPr>
        <w:t>种皮隆起且与胚分离。</w:t>
      </w:r>
    </w:p>
    <w:p w14:paraId="7B98D246">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.3.</w:t>
      </w:r>
      <w:r>
        <w:rPr>
          <w:rFonts w:hint="eastAsia" w:ascii="Times New Roman" w:hAnsi="Times New Roman" w:eastAsia="黑体"/>
          <w:spacing w:val="-6"/>
        </w:rPr>
        <w:t>1.5</w:t>
      </w:r>
      <w:r>
        <w:rPr>
          <w:rFonts w:ascii="Times New Roman" w:hAnsi="Times New Roman" w:eastAsia="黑体"/>
          <w:spacing w:val="-6"/>
        </w:rPr>
        <w:t xml:space="preserve"> </w:t>
      </w:r>
      <w:r>
        <w:rPr>
          <w:rFonts w:hint="eastAsia" w:ascii="Times New Roman" w:hAnsi="Times New Roman" w:eastAsia="黑体"/>
          <w:spacing w:val="-6"/>
        </w:rPr>
        <w:t>生霉粒的遴选</w:t>
      </w:r>
    </w:p>
    <w:p w14:paraId="30C7C72F">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将制作的小麦生霉粒样品倒在白磁盘中进行初筛。初筛的过程主要根据小麦生霉程度进行分类，并逐一做好标识，将分类的籽粒准备进行细筛。经筛选后，小麦生霉粒共分4种类型：</w:t>
      </w:r>
    </w:p>
    <w:p w14:paraId="7B31245F">
      <w:pPr>
        <w:numPr>
          <w:ilvl w:val="0"/>
          <w:numId w:val="40"/>
        </w:numPr>
        <w:spacing w:line="360" w:lineRule="auto"/>
        <w:rPr>
          <w:rFonts w:ascii="Times New Roman" w:hAnsi="Times New Roman"/>
          <w:snapToGrid w:val="0"/>
          <w:color w:val="000000"/>
          <w:spacing w:val="-6"/>
        </w:rPr>
      </w:pPr>
      <w:r>
        <w:rPr>
          <w:rFonts w:ascii="Times New Roman" w:hAnsi="Times New Roman"/>
          <w:snapToGrid w:val="0"/>
          <w:color w:val="000000"/>
          <w:spacing w:val="-6"/>
        </w:rPr>
        <w:t>轻度生霉：粒面零星生霉；</w:t>
      </w:r>
    </w:p>
    <w:p w14:paraId="274D4999">
      <w:pPr>
        <w:numPr>
          <w:ilvl w:val="0"/>
          <w:numId w:val="40"/>
        </w:numPr>
        <w:spacing w:line="360" w:lineRule="auto"/>
        <w:rPr>
          <w:rFonts w:ascii="Times New Roman" w:hAnsi="Times New Roman"/>
          <w:snapToGrid w:val="0"/>
          <w:color w:val="000000"/>
          <w:spacing w:val="-6"/>
        </w:rPr>
      </w:pPr>
      <w:r>
        <w:rPr>
          <w:rFonts w:ascii="Times New Roman" w:hAnsi="Times New Roman"/>
          <w:snapToGrid w:val="0"/>
          <w:color w:val="000000"/>
          <w:spacing w:val="-6"/>
        </w:rPr>
        <w:t>中度生霉：粒面约1/2面积生霉；</w:t>
      </w:r>
    </w:p>
    <w:p w14:paraId="5B0D3A70">
      <w:pPr>
        <w:numPr>
          <w:ilvl w:val="0"/>
          <w:numId w:val="40"/>
        </w:numPr>
        <w:spacing w:line="360" w:lineRule="auto"/>
        <w:rPr>
          <w:rFonts w:ascii="Times New Roman" w:hAnsi="Times New Roman"/>
          <w:snapToGrid w:val="0"/>
          <w:color w:val="000000"/>
          <w:spacing w:val="-6"/>
        </w:rPr>
      </w:pPr>
      <w:r>
        <w:rPr>
          <w:rFonts w:ascii="Times New Roman" w:hAnsi="Times New Roman"/>
          <w:snapToGrid w:val="0"/>
          <w:color w:val="000000"/>
          <w:spacing w:val="-6"/>
        </w:rPr>
        <w:t>较重生霉: 粒面约3/4面积生霉；</w:t>
      </w:r>
    </w:p>
    <w:p w14:paraId="2587BBF2">
      <w:pPr>
        <w:numPr>
          <w:ilvl w:val="0"/>
          <w:numId w:val="40"/>
        </w:numPr>
        <w:spacing w:line="360" w:lineRule="auto"/>
        <w:rPr>
          <w:rFonts w:ascii="Times New Roman" w:hAnsi="Times New Roman"/>
          <w:snapToGrid w:val="0"/>
          <w:color w:val="000000"/>
          <w:spacing w:val="-6"/>
        </w:rPr>
      </w:pPr>
      <w:r>
        <w:rPr>
          <w:rFonts w:ascii="Times New Roman" w:hAnsi="Times New Roman"/>
          <w:snapToGrid w:val="0"/>
          <w:color w:val="000000"/>
          <w:spacing w:val="-6"/>
        </w:rPr>
        <w:t>重度生霉：粒面几乎</w:t>
      </w:r>
      <w:r>
        <w:rPr>
          <w:rFonts w:hint="eastAsia" w:ascii="Times New Roman" w:hAnsi="Times New Roman"/>
          <w:snapToGrid w:val="0"/>
          <w:color w:val="000000"/>
          <w:spacing w:val="-6"/>
        </w:rPr>
        <w:t>全部</w:t>
      </w:r>
      <w:r>
        <w:rPr>
          <w:rFonts w:ascii="Times New Roman" w:hAnsi="Times New Roman"/>
          <w:snapToGrid w:val="0"/>
          <w:color w:val="000000"/>
          <w:spacing w:val="-6"/>
        </w:rPr>
        <w:t>生霉。</w:t>
      </w:r>
    </w:p>
    <w:p w14:paraId="634203E9">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.3.</w:t>
      </w:r>
      <w:r>
        <w:rPr>
          <w:rFonts w:hint="eastAsia" w:ascii="Times New Roman" w:hAnsi="Times New Roman" w:eastAsia="黑体"/>
          <w:spacing w:val="-6"/>
        </w:rPr>
        <w:t>2</w:t>
      </w:r>
      <w:r>
        <w:rPr>
          <w:rFonts w:ascii="Times New Roman" w:hAnsi="Times New Roman" w:eastAsia="黑体"/>
          <w:spacing w:val="-6"/>
        </w:rPr>
        <w:t xml:space="preserve"> </w:t>
      </w:r>
      <w:r>
        <w:rPr>
          <w:rFonts w:hint="eastAsia" w:ascii="Times New Roman" w:hAnsi="Times New Roman" w:eastAsia="黑体"/>
          <w:spacing w:val="-6"/>
        </w:rPr>
        <w:t>小麦不完善粒标准样品制作</w:t>
      </w:r>
    </w:p>
    <w:p w14:paraId="769CE90B">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本项目采用高透环氧树脂包埋技术进行小麦不完善粒标准样品的制作。高分子树脂原料呈液体状，具有非常好的流动性，能够充分充斥样品表面，干固成膜后不能再溶于水；且树脂透明度极高，便于观察标准样品的细微结构。此外，树脂还具有阻燃、耐老化、无毒、抗氧化、耐热、绝缘等优良性能，所以将小麦不完善粒镶嵌在树脂中可以延长标准样品的有效期，同时降低了成本。</w:t>
      </w:r>
    </w:p>
    <w:p w14:paraId="7CA53E4F">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共制作小麦标准样品100套，每套包含虫蚀粒、病斑粒、</w:t>
      </w:r>
      <w:r>
        <w:rPr>
          <w:rFonts w:hint="eastAsia" w:ascii="Times New Roman" w:hAnsi="Times New Roman"/>
          <w:snapToGrid w:val="0"/>
          <w:color w:val="000000"/>
          <w:spacing w:val="-6"/>
        </w:rPr>
        <w:t>破损</w:t>
      </w:r>
      <w:r>
        <w:rPr>
          <w:rFonts w:ascii="Times New Roman" w:hAnsi="Times New Roman"/>
          <w:snapToGrid w:val="0"/>
          <w:color w:val="000000"/>
          <w:spacing w:val="-6"/>
        </w:rPr>
        <w:t>粒、生芽粒、生霉粒5个种类，每一种类10颗籽粒塑封于一块树脂中。</w:t>
      </w:r>
    </w:p>
    <w:p w14:paraId="6A544B84">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制作流程如下：</w:t>
      </w:r>
    </w:p>
    <w:p w14:paraId="3EE1F9AB">
      <w:pPr>
        <w:pStyle w:val="238"/>
        <w:widowControl/>
        <w:numPr>
          <w:ilvl w:val="0"/>
          <w:numId w:val="41"/>
        </w:numPr>
        <w:snapToGrid w:val="0"/>
        <w:spacing w:line="360" w:lineRule="auto"/>
        <w:ind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准备88×55×20 mm的模具，清理模具，避免有灰尘、杂质等。</w:t>
      </w:r>
    </w:p>
    <w:p w14:paraId="7E33F27A">
      <w:pPr>
        <w:pStyle w:val="238"/>
        <w:widowControl/>
        <w:numPr>
          <w:ilvl w:val="0"/>
          <w:numId w:val="41"/>
        </w:numPr>
        <w:snapToGrid w:val="0"/>
        <w:spacing w:line="360" w:lineRule="auto"/>
        <w:ind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将环氧树脂和环氧树脂固化剂（比例3:1）倒入容器，顺时针搅拌均匀。低温情况下可先将树</w:t>
      </w:r>
    </w:p>
    <w:p w14:paraId="29EA3EF6">
      <w:pPr>
        <w:pStyle w:val="238"/>
        <w:widowControl/>
        <w:snapToGrid w:val="0"/>
        <w:spacing w:line="360" w:lineRule="auto"/>
        <w:ind w:firstLine="0"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脂加热，然后加入固化剂进行搅拌。搅拌时注意观察，保证彻底搅拌均匀。</w:t>
      </w:r>
    </w:p>
    <w:p w14:paraId="1A7E3AF6">
      <w:pPr>
        <w:pStyle w:val="238"/>
        <w:widowControl/>
        <w:numPr>
          <w:ilvl w:val="0"/>
          <w:numId w:val="41"/>
        </w:numPr>
        <w:snapToGrid w:val="0"/>
        <w:spacing w:line="360" w:lineRule="auto"/>
        <w:ind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搅拌好后用真空机抽真空去除气泡，或者静止10 min～20 min待气泡自然消除，等待时间不</w:t>
      </w:r>
    </w:p>
    <w:p w14:paraId="77A8AFCD">
      <w:pPr>
        <w:pStyle w:val="238"/>
        <w:widowControl/>
        <w:snapToGrid w:val="0"/>
        <w:spacing w:line="360" w:lineRule="auto"/>
        <w:ind w:firstLine="0"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可过长，树脂和固化剂会极速升温导致硬化变形。</w:t>
      </w:r>
    </w:p>
    <w:p w14:paraId="1D6D53C5">
      <w:pPr>
        <w:pStyle w:val="238"/>
        <w:widowControl/>
        <w:numPr>
          <w:ilvl w:val="0"/>
          <w:numId w:val="41"/>
        </w:numPr>
        <w:snapToGrid w:val="0"/>
        <w:spacing w:line="360" w:lineRule="auto"/>
        <w:ind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将准备好的树脂和固化剂倒入模具底部，自然固化，或在烤箱中50</w:t>
      </w:r>
      <w:r>
        <w:rPr>
          <w:rFonts w:hint="eastAsia" w:ascii="Times New Roman" w:hAnsi="Times New Roman"/>
          <w:snapToGrid w:val="0"/>
          <w:color w:val="000000"/>
          <w:spacing w:val="-6"/>
          <w:szCs w:val="21"/>
        </w:rPr>
        <w:t>℃</w:t>
      </w:r>
      <w:r>
        <w:rPr>
          <w:rFonts w:ascii="Times New Roman" w:hAnsi="Times New Roman"/>
          <w:snapToGrid w:val="0"/>
          <w:color w:val="000000"/>
          <w:spacing w:val="-6"/>
          <w:szCs w:val="21"/>
        </w:rPr>
        <w:t>～60</w:t>
      </w:r>
      <w:r>
        <w:rPr>
          <w:rFonts w:hint="eastAsia" w:ascii="Times New Roman" w:hAnsi="Times New Roman"/>
          <w:snapToGrid w:val="0"/>
          <w:color w:val="000000"/>
          <w:spacing w:val="-6"/>
          <w:szCs w:val="21"/>
        </w:rPr>
        <w:t>℃</w:t>
      </w:r>
      <w:r>
        <w:rPr>
          <w:rFonts w:ascii="Times New Roman" w:hAnsi="Times New Roman"/>
          <w:snapToGrid w:val="0"/>
          <w:color w:val="000000"/>
          <w:spacing w:val="-6"/>
          <w:szCs w:val="21"/>
        </w:rPr>
        <w:t>条件下加速固化</w:t>
      </w:r>
    </w:p>
    <w:p w14:paraId="06336FA2">
      <w:pPr>
        <w:pStyle w:val="238"/>
        <w:widowControl/>
        <w:snapToGrid w:val="0"/>
        <w:spacing w:line="360" w:lineRule="auto"/>
        <w:ind w:firstLine="0"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，超过65</w:t>
      </w:r>
      <w:r>
        <w:rPr>
          <w:rFonts w:hint="eastAsia" w:ascii="Times New Roman" w:hAnsi="Times New Roman"/>
          <w:snapToGrid w:val="0"/>
          <w:color w:val="000000"/>
          <w:spacing w:val="-6"/>
          <w:szCs w:val="21"/>
        </w:rPr>
        <w:t>℃</w:t>
      </w:r>
      <w:r>
        <w:rPr>
          <w:rFonts w:ascii="Times New Roman" w:hAnsi="Times New Roman"/>
          <w:snapToGrid w:val="0"/>
          <w:color w:val="000000"/>
          <w:spacing w:val="-6"/>
          <w:szCs w:val="21"/>
        </w:rPr>
        <w:t>会导致树脂硬化变形。</w:t>
      </w:r>
    </w:p>
    <w:p w14:paraId="7E4E3CC4">
      <w:pPr>
        <w:pStyle w:val="238"/>
        <w:widowControl/>
        <w:numPr>
          <w:ilvl w:val="0"/>
          <w:numId w:val="41"/>
        </w:numPr>
        <w:snapToGrid w:val="0"/>
        <w:spacing w:line="360" w:lineRule="auto"/>
        <w:ind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将小麦不完善粒样品均匀放置于已固化的树脂上，然后倒入准备好的树脂和固化剂，等待固</w:t>
      </w:r>
    </w:p>
    <w:p w14:paraId="1A7E1DC5">
      <w:pPr>
        <w:pStyle w:val="238"/>
        <w:widowControl/>
        <w:snapToGrid w:val="0"/>
        <w:spacing w:line="360" w:lineRule="auto"/>
        <w:ind w:firstLine="0"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化。</w:t>
      </w:r>
    </w:p>
    <w:p w14:paraId="7348DE10">
      <w:pPr>
        <w:pStyle w:val="238"/>
        <w:widowControl/>
        <w:numPr>
          <w:ilvl w:val="0"/>
          <w:numId w:val="41"/>
        </w:numPr>
        <w:snapToGrid w:val="0"/>
        <w:spacing w:line="360" w:lineRule="auto"/>
        <w:ind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第二层材料固化好后，逐层倒入准备好的树脂和固化剂，层数根据小麦籽粒情况不同进行确</w:t>
      </w:r>
    </w:p>
    <w:p w14:paraId="4D7C014D">
      <w:pPr>
        <w:pStyle w:val="238"/>
        <w:widowControl/>
        <w:snapToGrid w:val="0"/>
        <w:spacing w:line="360" w:lineRule="auto"/>
        <w:ind w:firstLine="0" w:firstLineChars="0"/>
        <w:rPr>
          <w:rFonts w:ascii="Times New Roman" w:hAnsi="Times New Roman"/>
          <w:snapToGrid w:val="0"/>
          <w:color w:val="000000"/>
          <w:spacing w:val="-6"/>
          <w:szCs w:val="21"/>
        </w:rPr>
      </w:pPr>
      <w:r>
        <w:rPr>
          <w:rFonts w:ascii="Times New Roman" w:hAnsi="Times New Roman"/>
          <w:snapToGrid w:val="0"/>
          <w:color w:val="000000"/>
          <w:spacing w:val="-6"/>
          <w:szCs w:val="21"/>
        </w:rPr>
        <w:t>定，抽真空除气泡或自然排气泡。最后一层树脂应凸出模具2-3 mm，等待12小时固化。</w:t>
      </w:r>
    </w:p>
    <w:p w14:paraId="294AB99F">
      <w:pPr>
        <w:pStyle w:val="14"/>
        <w:widowControl/>
        <w:numPr>
          <w:ilvl w:val="0"/>
          <w:numId w:val="41"/>
        </w:numPr>
        <w:kinsoku w:val="0"/>
        <w:autoSpaceDE w:val="0"/>
        <w:autoSpaceDN w:val="0"/>
        <w:snapToGrid w:val="0"/>
        <w:spacing w:line="360" w:lineRule="auto"/>
        <w:textAlignment w:val="baseline"/>
        <w:outlineLvl w:val="1"/>
        <w:rPr>
          <w:rFonts w:ascii="Times New Roman" w:hAnsi="Times New Roman"/>
          <w:snapToGrid w:val="0"/>
          <w:color w:val="000000"/>
          <w:spacing w:val="-6"/>
        </w:rPr>
      </w:pPr>
      <w:r>
        <w:rPr>
          <w:rFonts w:ascii="Times New Roman" w:hAnsi="Times New Roman"/>
          <w:snapToGrid w:val="0"/>
          <w:color w:val="000000"/>
          <w:spacing w:val="-6"/>
        </w:rPr>
        <w:t>打磨抛光：使用打磨机或者手工由小到大依次打磨（80-120-200-280-360-400……5000 mesh</w:t>
      </w:r>
    </w:p>
    <w:p w14:paraId="32BFC9A7">
      <w:pPr>
        <w:pStyle w:val="14"/>
        <w:widowControl/>
        <w:kinsoku w:val="0"/>
        <w:autoSpaceDE w:val="0"/>
        <w:autoSpaceDN w:val="0"/>
        <w:snapToGrid w:val="0"/>
        <w:spacing w:line="360" w:lineRule="auto"/>
        <w:textAlignment w:val="baseline"/>
        <w:outlineLvl w:val="1"/>
        <w:rPr>
          <w:rFonts w:ascii="Times New Roman" w:hAnsi="Times New Roman"/>
          <w:snapToGrid w:val="0"/>
          <w:color w:val="000000"/>
          <w:spacing w:val="-6"/>
        </w:rPr>
      </w:pPr>
      <w:r>
        <w:rPr>
          <w:rFonts w:ascii="Times New Roman" w:hAnsi="Times New Roman"/>
          <w:snapToGrid w:val="0"/>
          <w:color w:val="000000"/>
          <w:spacing w:val="-6"/>
        </w:rPr>
        <w:t>）；钻石抛光膏抛光。</w:t>
      </w:r>
    </w:p>
    <w:p w14:paraId="02A7CAB0">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4</w:t>
      </w:r>
      <w:r>
        <w:rPr>
          <w:rFonts w:ascii="Times New Roman" w:hAnsi="Times New Roman" w:eastAsia="黑体"/>
          <w:spacing w:val="-6"/>
        </w:rPr>
        <w:t xml:space="preserve">  </w:t>
      </w:r>
      <w:r>
        <w:rPr>
          <w:rFonts w:hint="eastAsia" w:ascii="Times New Roman" w:hAnsi="Times New Roman" w:eastAsia="黑体"/>
          <w:spacing w:val="-6"/>
        </w:rPr>
        <w:t>分装及储存</w:t>
      </w:r>
    </w:p>
    <w:p w14:paraId="7A176C32">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hint="eastAsia" w:ascii="Times New Roman" w:hAnsi="Times New Roman"/>
          <w:spacing w:val="-6"/>
        </w:rPr>
        <w:t>分装：共研制小麦</w:t>
      </w:r>
      <w:bookmarkStart w:id="47" w:name="_Hlk36559884"/>
      <w:r>
        <w:rPr>
          <w:rFonts w:hint="eastAsia" w:ascii="Times New Roman" w:hAnsi="Times New Roman"/>
          <w:spacing w:val="-6"/>
        </w:rPr>
        <w:t>不完善粒标准样品</w:t>
      </w:r>
      <w:bookmarkEnd w:id="47"/>
      <w:r>
        <w:rPr>
          <w:rFonts w:hint="eastAsia" w:ascii="Times New Roman" w:hAnsi="Times New Roman"/>
          <w:spacing w:val="-6"/>
        </w:rPr>
        <w:t>100套，每套包含虫蚀粒、病斑粒、破损粒、生芽粒、生霉粒5个种类，每一种类10颗籽粒塑封于一块树脂中。</w:t>
      </w:r>
    </w:p>
    <w:p w14:paraId="6F9EA516">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hint="eastAsia" w:ascii="Times New Roman" w:hAnsi="Times New Roman"/>
          <w:spacing w:val="-6"/>
        </w:rPr>
        <w:t>储存条件：常温下保存和运输，避免太阳直射和强光照射。</w:t>
      </w:r>
    </w:p>
    <w:p w14:paraId="3430358E">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5</w:t>
      </w:r>
      <w:r>
        <w:rPr>
          <w:rFonts w:ascii="Times New Roman" w:hAnsi="Times New Roman" w:eastAsia="黑体"/>
          <w:spacing w:val="-6"/>
        </w:rPr>
        <w:t xml:space="preserve">  </w:t>
      </w:r>
      <w:r>
        <w:rPr>
          <w:rFonts w:hint="eastAsia" w:ascii="Times New Roman" w:hAnsi="Times New Roman" w:eastAsia="黑体"/>
          <w:spacing w:val="-6"/>
        </w:rPr>
        <w:t>均匀性</w:t>
      </w:r>
    </w:p>
    <w:p w14:paraId="3883461A">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hint="eastAsia" w:ascii="Times New Roman" w:hAnsi="Times New Roman"/>
          <w:spacing w:val="-6"/>
        </w:rPr>
        <w:t>本标准样品在研制过程中，所有籽粒均经过逐一筛选和确认，最终包埋入</w:t>
      </w:r>
      <w:r>
        <w:rPr>
          <w:rFonts w:ascii="Times New Roman" w:hAnsi="Times New Roman"/>
          <w:spacing w:val="-6"/>
        </w:rPr>
        <w:t>高透环氧树脂</w:t>
      </w:r>
      <w:r>
        <w:rPr>
          <w:rFonts w:hint="eastAsia" w:ascii="Times New Roman" w:hAnsi="Times New Roman"/>
          <w:spacing w:val="-6"/>
        </w:rPr>
        <w:t>中。共制成标准样品1</w:t>
      </w:r>
      <w:r>
        <w:rPr>
          <w:rFonts w:ascii="Times New Roman" w:hAnsi="Times New Roman"/>
          <w:spacing w:val="-6"/>
        </w:rPr>
        <w:t>00</w:t>
      </w:r>
      <w:r>
        <w:rPr>
          <w:rFonts w:hint="eastAsia" w:ascii="Times New Roman" w:hAnsi="Times New Roman"/>
          <w:spacing w:val="-6"/>
        </w:rPr>
        <w:t>套，</w:t>
      </w:r>
      <w:r>
        <w:rPr>
          <w:rFonts w:ascii="Times New Roman" w:hAnsi="Times New Roman"/>
          <w:spacing w:val="-6"/>
        </w:rPr>
        <w:t>每套包含虫蚀粒、病斑粒、</w:t>
      </w:r>
      <w:r>
        <w:rPr>
          <w:rFonts w:hint="eastAsia" w:ascii="Times New Roman" w:hAnsi="Times New Roman"/>
          <w:spacing w:val="-6"/>
        </w:rPr>
        <w:t>破损</w:t>
      </w:r>
      <w:r>
        <w:rPr>
          <w:rFonts w:ascii="Times New Roman" w:hAnsi="Times New Roman"/>
          <w:spacing w:val="-6"/>
        </w:rPr>
        <w:t>粒、生芽粒、生霉粒5个种类，每一种类10颗籽粒塑封于一块树脂中。</w:t>
      </w:r>
    </w:p>
    <w:p w14:paraId="1F253228">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hint="eastAsia" w:ascii="Times New Roman" w:hAnsi="Times New Roman"/>
          <w:spacing w:val="-6"/>
        </w:rPr>
        <w:t>随机选取2</w:t>
      </w:r>
      <w:r>
        <w:rPr>
          <w:rFonts w:ascii="Times New Roman" w:hAnsi="Times New Roman"/>
          <w:spacing w:val="-6"/>
        </w:rPr>
        <w:t>0</w:t>
      </w:r>
      <w:r>
        <w:rPr>
          <w:rFonts w:hint="eastAsia" w:ascii="Times New Roman" w:hAnsi="Times New Roman"/>
          <w:spacing w:val="-6"/>
        </w:rPr>
        <w:t>套制作完成的小麦不完善粒标准样品，观察每套标准样品</w:t>
      </w:r>
      <w:r>
        <w:rPr>
          <w:rFonts w:ascii="Times New Roman" w:hAnsi="Times New Roman"/>
          <w:spacing w:val="-6"/>
        </w:rPr>
        <w:t>5个种类</w:t>
      </w:r>
      <w:r>
        <w:rPr>
          <w:rFonts w:hint="eastAsia" w:ascii="Times New Roman" w:hAnsi="Times New Roman"/>
          <w:spacing w:val="-6"/>
        </w:rPr>
        <w:t>中的1</w:t>
      </w:r>
      <w:r>
        <w:rPr>
          <w:rFonts w:ascii="Times New Roman" w:hAnsi="Times New Roman"/>
          <w:spacing w:val="-6"/>
        </w:rPr>
        <w:t>0</w:t>
      </w:r>
      <w:r>
        <w:rPr>
          <w:rFonts w:hint="eastAsia" w:ascii="Times New Roman" w:hAnsi="Times New Roman"/>
          <w:spacing w:val="-6"/>
        </w:rPr>
        <w:t>个籽粒是</w:t>
      </w:r>
      <w:bookmarkStart w:id="48" w:name="_Hlk28870032"/>
      <w:r>
        <w:rPr>
          <w:rFonts w:hint="eastAsia" w:ascii="Times New Roman" w:hAnsi="Times New Roman"/>
          <w:spacing w:val="-6"/>
        </w:rPr>
        <w:t>否均为相应的不完善粒</w:t>
      </w:r>
      <w:bookmarkEnd w:id="48"/>
      <w:r>
        <w:rPr>
          <w:rFonts w:hint="eastAsia" w:ascii="Times New Roman" w:hAnsi="Times New Roman"/>
          <w:spacing w:val="-6"/>
        </w:rPr>
        <w:t>，即是否符合GB</w:t>
      </w:r>
      <w:r>
        <w:rPr>
          <w:rFonts w:ascii="Times New Roman" w:hAnsi="Times New Roman"/>
          <w:spacing w:val="-6"/>
        </w:rPr>
        <w:t xml:space="preserve"> 1351</w:t>
      </w:r>
      <w:r>
        <w:rPr>
          <w:rFonts w:hint="eastAsia" w:ascii="Times New Roman" w:hAnsi="Times New Roman"/>
          <w:spacing w:val="-6"/>
        </w:rPr>
        <w:t>中的描述：</w:t>
      </w:r>
    </w:p>
    <w:p w14:paraId="7101F2C8">
      <w:pPr>
        <w:pStyle w:val="14"/>
        <w:widowControl/>
        <w:numPr>
          <w:ilvl w:val="0"/>
          <w:numId w:val="42"/>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虫蚀粒（injured kernel）：被虫蛀蚀，伤及胚或胚乳的颗粒。</w:t>
      </w:r>
    </w:p>
    <w:p w14:paraId="72CBE315">
      <w:pPr>
        <w:pStyle w:val="14"/>
        <w:widowControl/>
        <w:numPr>
          <w:ilvl w:val="0"/>
          <w:numId w:val="42"/>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病斑粒（spotted kernel）：粒面带有病斑，伤及胚或胚乳的颗粒。</w:t>
      </w:r>
    </w:p>
    <w:p w14:paraId="12D3835C">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黑胚粒（black germ kernel）：籽粒胚部呈深褐色或黑色，伤及胚或胚乳的颗粒。</w:t>
      </w:r>
    </w:p>
    <w:p w14:paraId="57631518">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ascii="Times New Roman" w:hAnsi="Times New Roman"/>
          <w:spacing w:val="-6"/>
        </w:rPr>
        <w:t>赤霉病粒（gibberella damaged kernel）：籽粒皱缩，呆白，有的粒面呈紫色，或有明显的粉红色霉状物，间有黑色子囊壳。</w:t>
      </w:r>
    </w:p>
    <w:p w14:paraId="0F2D2E29">
      <w:pPr>
        <w:pStyle w:val="14"/>
        <w:widowControl/>
        <w:numPr>
          <w:ilvl w:val="0"/>
          <w:numId w:val="42"/>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破损粒(broken kernel)：压扁、破碎，伤及胚或胚乳的颗粒。</w:t>
      </w:r>
    </w:p>
    <w:p w14:paraId="535098B6">
      <w:pPr>
        <w:pStyle w:val="14"/>
        <w:widowControl/>
        <w:numPr>
          <w:ilvl w:val="0"/>
          <w:numId w:val="42"/>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生芽粒（sprouted kernel）：芽或幼根虽未突破种皮但胚部种皮已破裂或明显隆起且与胚分离的颗粒，或芽或幼根突破种皮不超过本颗粒长度的颗粒。</w:t>
      </w:r>
    </w:p>
    <w:p w14:paraId="55FF5256">
      <w:pPr>
        <w:pStyle w:val="14"/>
        <w:widowControl/>
        <w:numPr>
          <w:ilvl w:val="0"/>
          <w:numId w:val="42"/>
        </w:numPr>
        <w:kinsoku w:val="0"/>
        <w:autoSpaceDE w:val="0"/>
        <w:autoSpaceDN w:val="0"/>
        <w:snapToGrid w:val="0"/>
        <w:spacing w:line="360" w:lineRule="auto"/>
        <w:textAlignment w:val="baseline"/>
        <w:outlineLvl w:val="1"/>
        <w:rPr>
          <w:rFonts w:ascii="Times New Roman" w:hAnsi="Times New Roman"/>
          <w:spacing w:val="-6"/>
        </w:rPr>
      </w:pPr>
      <w:r>
        <w:rPr>
          <w:rFonts w:ascii="Times New Roman" w:hAnsi="Times New Roman"/>
          <w:spacing w:val="-6"/>
        </w:rPr>
        <w:t>生霉粒（moldy kernel）：粒面生霉的颗粒。</w:t>
      </w:r>
    </w:p>
    <w:p w14:paraId="3F068D60">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hint="eastAsia" w:ascii="Times New Roman" w:hAnsi="Times New Roman"/>
          <w:spacing w:val="-6"/>
        </w:rPr>
        <w:t>同理，分别观察这2</w:t>
      </w:r>
      <w:r>
        <w:rPr>
          <w:rFonts w:ascii="Times New Roman" w:hAnsi="Times New Roman"/>
          <w:spacing w:val="-6"/>
        </w:rPr>
        <w:t>0</w:t>
      </w:r>
      <w:r>
        <w:rPr>
          <w:rFonts w:hint="eastAsia" w:ascii="Times New Roman" w:hAnsi="Times New Roman"/>
          <w:spacing w:val="-6"/>
        </w:rPr>
        <w:t>套标准样品中的同一种类是否均为相应的不完善粒，是否符合GB</w:t>
      </w:r>
      <w:r>
        <w:rPr>
          <w:rFonts w:ascii="Times New Roman" w:hAnsi="Times New Roman"/>
          <w:spacing w:val="-6"/>
        </w:rPr>
        <w:t xml:space="preserve"> 1351</w:t>
      </w:r>
      <w:r>
        <w:rPr>
          <w:rFonts w:hint="eastAsia" w:ascii="Times New Roman" w:hAnsi="Times New Roman"/>
          <w:spacing w:val="-6"/>
        </w:rPr>
        <w:t>中的描述（同上）。</w:t>
      </w:r>
    </w:p>
    <w:p w14:paraId="796A776F">
      <w:pPr>
        <w:pStyle w:val="14"/>
        <w:widowControl/>
        <w:kinsoku w:val="0"/>
        <w:autoSpaceDE w:val="0"/>
        <w:autoSpaceDN w:val="0"/>
        <w:snapToGrid w:val="0"/>
        <w:spacing w:line="360" w:lineRule="auto"/>
        <w:ind w:firstLine="396" w:firstLineChars="200"/>
        <w:textAlignment w:val="baseline"/>
        <w:outlineLvl w:val="1"/>
        <w:rPr>
          <w:rFonts w:ascii="Times New Roman" w:hAnsi="Times New Roman"/>
          <w:spacing w:val="-6"/>
        </w:rPr>
      </w:pPr>
      <w:r>
        <w:rPr>
          <w:rFonts w:hint="eastAsia" w:ascii="Times New Roman" w:hAnsi="Times New Roman"/>
          <w:spacing w:val="-6"/>
        </w:rPr>
        <w:t>经观察确认，各籽粒的特征均符合标准中的描述，均匀性良好。</w:t>
      </w:r>
    </w:p>
    <w:p w14:paraId="0474DC2F">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6</w:t>
      </w:r>
      <w:r>
        <w:rPr>
          <w:rFonts w:ascii="Times New Roman" w:hAnsi="Times New Roman" w:eastAsia="黑体"/>
          <w:spacing w:val="-6"/>
        </w:rPr>
        <w:t xml:space="preserve">  </w:t>
      </w:r>
      <w:r>
        <w:rPr>
          <w:rFonts w:hint="eastAsia" w:ascii="Times New Roman" w:hAnsi="Times New Roman" w:eastAsia="黑体"/>
          <w:spacing w:val="-6"/>
        </w:rPr>
        <w:t>稳定性</w:t>
      </w:r>
    </w:p>
    <w:p w14:paraId="122F981F">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6</w:t>
      </w:r>
      <w:r>
        <w:rPr>
          <w:rFonts w:ascii="Times New Roman" w:hAnsi="Times New Roman" w:eastAsia="黑体"/>
          <w:spacing w:val="-6"/>
        </w:rPr>
        <w:t xml:space="preserve">.1 </w:t>
      </w:r>
      <w:r>
        <w:rPr>
          <w:rFonts w:hint="eastAsia" w:ascii="Times New Roman" w:hAnsi="Times New Roman" w:eastAsia="黑体"/>
          <w:spacing w:val="-6"/>
        </w:rPr>
        <w:t>短期稳定性检验</w:t>
      </w:r>
    </w:p>
    <w:p w14:paraId="46EB94B5">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为模拟运输条件，</w:t>
      </w:r>
      <w:bookmarkStart w:id="49" w:name="_Hlk27660325"/>
      <w:r>
        <w:rPr>
          <w:rFonts w:ascii="Times New Roman" w:hAnsi="Times New Roman"/>
          <w:snapToGrid w:val="0"/>
          <w:color w:val="000000"/>
          <w:spacing w:val="-6"/>
        </w:rPr>
        <w:t>随机选取10套标准样品分别置于-20</w:t>
      </w:r>
      <w:r>
        <w:rPr>
          <w:rFonts w:hint="eastAsia" w:ascii="Times New Roman" w:hAnsi="Times New Roman"/>
          <w:snapToGrid w:val="0"/>
          <w:color w:val="000000"/>
          <w:spacing w:val="-6"/>
        </w:rPr>
        <w:t>℃</w:t>
      </w:r>
      <w:r>
        <w:rPr>
          <w:rFonts w:ascii="Times New Roman" w:hAnsi="Times New Roman"/>
          <w:snapToGrid w:val="0"/>
          <w:color w:val="000000"/>
          <w:spacing w:val="-6"/>
        </w:rPr>
        <w:t>（冰箱冷冻层）、4</w:t>
      </w:r>
      <w:r>
        <w:rPr>
          <w:rFonts w:hint="eastAsia" w:ascii="Times New Roman" w:hAnsi="Times New Roman"/>
          <w:snapToGrid w:val="0"/>
          <w:color w:val="000000"/>
          <w:spacing w:val="-6"/>
        </w:rPr>
        <w:t>℃</w:t>
      </w:r>
      <w:r>
        <w:rPr>
          <w:rFonts w:ascii="Times New Roman" w:hAnsi="Times New Roman"/>
          <w:snapToGrid w:val="0"/>
          <w:color w:val="000000"/>
          <w:spacing w:val="-6"/>
        </w:rPr>
        <w:t>（冰箱冷藏）、25</w:t>
      </w:r>
      <w:r>
        <w:rPr>
          <w:rFonts w:hint="eastAsia" w:ascii="Times New Roman" w:hAnsi="Times New Roman"/>
          <w:snapToGrid w:val="0"/>
          <w:color w:val="000000"/>
          <w:spacing w:val="-6"/>
        </w:rPr>
        <w:t>℃</w:t>
      </w:r>
      <w:r>
        <w:rPr>
          <w:rFonts w:ascii="Times New Roman" w:hAnsi="Times New Roman"/>
          <w:snapToGrid w:val="0"/>
          <w:color w:val="000000"/>
          <w:spacing w:val="-6"/>
        </w:rPr>
        <w:t>、37</w:t>
      </w:r>
      <w:r>
        <w:rPr>
          <w:rFonts w:hint="eastAsia" w:ascii="Times New Roman" w:hAnsi="Times New Roman"/>
          <w:snapToGrid w:val="0"/>
          <w:color w:val="000000"/>
          <w:spacing w:val="-6"/>
        </w:rPr>
        <w:t>℃</w:t>
      </w:r>
      <w:r>
        <w:rPr>
          <w:rFonts w:ascii="Times New Roman" w:hAnsi="Times New Roman"/>
          <w:snapToGrid w:val="0"/>
          <w:color w:val="000000"/>
          <w:spacing w:val="-6"/>
        </w:rPr>
        <w:t>和45</w:t>
      </w:r>
      <w:r>
        <w:rPr>
          <w:rFonts w:hint="eastAsia" w:ascii="Times New Roman" w:hAnsi="Times New Roman"/>
          <w:snapToGrid w:val="0"/>
          <w:color w:val="000000"/>
          <w:spacing w:val="-6"/>
        </w:rPr>
        <w:t>℃</w:t>
      </w:r>
      <w:r>
        <w:rPr>
          <w:rFonts w:ascii="Times New Roman" w:hAnsi="Times New Roman"/>
          <w:snapToGrid w:val="0"/>
          <w:color w:val="000000"/>
          <w:spacing w:val="-6"/>
        </w:rPr>
        <w:t>（恒温箱）中保存，测试时间为1、3、7和14天</w:t>
      </w:r>
      <w:r>
        <w:rPr>
          <w:rFonts w:hint="eastAsia" w:ascii="Times New Roman" w:hAnsi="Times New Roman"/>
          <w:snapToGrid w:val="0"/>
          <w:color w:val="000000"/>
          <w:spacing w:val="-6"/>
        </w:rPr>
        <w:t>。</w:t>
      </w:r>
      <w:r>
        <w:rPr>
          <w:rFonts w:ascii="Times New Roman" w:hAnsi="Times New Roman"/>
          <w:snapToGrid w:val="0"/>
          <w:color w:val="000000"/>
          <w:spacing w:val="-6"/>
        </w:rPr>
        <w:t>观察</w:t>
      </w:r>
      <w:r>
        <w:rPr>
          <w:rFonts w:hint="eastAsia" w:ascii="Times New Roman" w:hAnsi="Times New Roman"/>
          <w:snapToGrid w:val="0"/>
          <w:color w:val="000000"/>
          <w:spacing w:val="-6"/>
        </w:rPr>
        <w:t>每套标准样品中每一种类的1</w:t>
      </w:r>
      <w:r>
        <w:rPr>
          <w:rFonts w:ascii="Times New Roman" w:hAnsi="Times New Roman"/>
          <w:snapToGrid w:val="0"/>
          <w:color w:val="000000"/>
          <w:spacing w:val="-6"/>
        </w:rPr>
        <w:t>0</w:t>
      </w:r>
      <w:r>
        <w:rPr>
          <w:rFonts w:hint="eastAsia" w:ascii="Times New Roman" w:hAnsi="Times New Roman"/>
          <w:snapToGrid w:val="0"/>
          <w:color w:val="000000"/>
          <w:spacing w:val="-6"/>
        </w:rPr>
        <w:t>个籽粒有几粒符合GB</w:t>
      </w:r>
      <w:r>
        <w:rPr>
          <w:rFonts w:ascii="Times New Roman" w:hAnsi="Times New Roman"/>
          <w:snapToGrid w:val="0"/>
          <w:color w:val="000000"/>
          <w:spacing w:val="-6"/>
        </w:rPr>
        <w:t xml:space="preserve"> 1351</w:t>
      </w:r>
      <w:r>
        <w:rPr>
          <w:rFonts w:hint="eastAsia" w:ascii="Times New Roman" w:hAnsi="Times New Roman"/>
          <w:snapToGrid w:val="0"/>
          <w:color w:val="000000"/>
          <w:spacing w:val="-6"/>
        </w:rPr>
        <w:t>中的描述：</w:t>
      </w:r>
      <w:r>
        <w:rPr>
          <w:rFonts w:ascii="Times New Roman" w:hAnsi="Times New Roman"/>
          <w:snapToGrid w:val="0"/>
          <w:color w:val="000000"/>
          <w:spacing w:val="-6"/>
        </w:rPr>
        <w:t>1）虫蚀粒（injured kernel）：被虫蛀蚀，伤及胚或胚乳的颗粒</w:t>
      </w:r>
      <w:r>
        <w:rPr>
          <w:rFonts w:hint="eastAsia" w:ascii="Times New Roman" w:hAnsi="Times New Roman"/>
          <w:snapToGrid w:val="0"/>
          <w:color w:val="000000"/>
          <w:spacing w:val="-6"/>
        </w:rPr>
        <w:t>；</w:t>
      </w:r>
      <w:r>
        <w:rPr>
          <w:rFonts w:ascii="Times New Roman" w:hAnsi="Times New Roman"/>
          <w:snapToGrid w:val="0"/>
          <w:color w:val="000000"/>
          <w:spacing w:val="-6"/>
        </w:rPr>
        <w:t>2）病斑粒（spotted kernel）：粒面带有病斑，伤及胚或胚乳的颗粒。</w:t>
      </w:r>
      <w:r>
        <w:rPr>
          <w:rFonts w:hint="eastAsia" w:ascii="Times New Roman" w:hAnsi="Times New Roman"/>
          <w:snapToGrid w:val="0"/>
          <w:color w:val="000000"/>
          <w:spacing w:val="-6"/>
        </w:rPr>
        <w:t>包含①</w:t>
      </w:r>
      <w:r>
        <w:rPr>
          <w:rFonts w:ascii="Times New Roman" w:hAnsi="Times New Roman"/>
          <w:snapToGrid w:val="0"/>
          <w:color w:val="000000"/>
          <w:spacing w:val="-6"/>
        </w:rPr>
        <w:t>黑胚粒（black germ kernel）：籽粒胚部呈深褐色或黑色，伤及胚或胚乳的颗粒。</w:t>
      </w:r>
      <w:r>
        <w:rPr>
          <w:rFonts w:hint="eastAsia" w:ascii="Times New Roman" w:hAnsi="Times New Roman"/>
          <w:snapToGrid w:val="0"/>
          <w:color w:val="000000"/>
          <w:spacing w:val="-6"/>
        </w:rPr>
        <w:t>②</w:t>
      </w:r>
      <w:r>
        <w:rPr>
          <w:rFonts w:ascii="Times New Roman" w:hAnsi="Times New Roman"/>
          <w:snapToGrid w:val="0"/>
          <w:color w:val="000000"/>
          <w:spacing w:val="-6"/>
        </w:rPr>
        <w:t>赤霉病粒（gibberella damaged kernel）：籽粒皱缩，呆白，有的粒面呈紫色，或有明显的粉红色霉状物，间有黑色子囊壳</w:t>
      </w:r>
      <w:r>
        <w:rPr>
          <w:rFonts w:hint="eastAsia" w:ascii="Times New Roman" w:hAnsi="Times New Roman"/>
          <w:snapToGrid w:val="0"/>
          <w:color w:val="000000"/>
          <w:spacing w:val="-6"/>
        </w:rPr>
        <w:t>；</w:t>
      </w:r>
      <w:r>
        <w:rPr>
          <w:rFonts w:ascii="Times New Roman" w:hAnsi="Times New Roman"/>
          <w:snapToGrid w:val="0"/>
          <w:color w:val="000000"/>
          <w:spacing w:val="-6"/>
        </w:rPr>
        <w:t>3）破损粒(broken kernel)：压扁、破碎，伤及胚或胚乳的颗粒</w:t>
      </w:r>
      <w:r>
        <w:rPr>
          <w:rFonts w:hint="eastAsia" w:ascii="Times New Roman" w:hAnsi="Times New Roman"/>
          <w:snapToGrid w:val="0"/>
          <w:color w:val="000000"/>
          <w:spacing w:val="-6"/>
        </w:rPr>
        <w:t>；</w:t>
      </w:r>
      <w:r>
        <w:rPr>
          <w:rFonts w:ascii="Times New Roman" w:hAnsi="Times New Roman"/>
          <w:snapToGrid w:val="0"/>
          <w:color w:val="000000"/>
          <w:spacing w:val="-6"/>
        </w:rPr>
        <w:t>4）生芽粒（sprouted kernel）：芽或幼根虽未突破种皮但胚部种皮已破裂或明显隆起且与胚分离的颗粒，或芽或幼根突破种皮不超过本颗粒长度的颗粒</w:t>
      </w:r>
      <w:r>
        <w:rPr>
          <w:rFonts w:hint="eastAsia" w:ascii="Times New Roman" w:hAnsi="Times New Roman"/>
          <w:snapToGrid w:val="0"/>
          <w:color w:val="000000"/>
          <w:spacing w:val="-6"/>
        </w:rPr>
        <w:t>；</w:t>
      </w:r>
      <w:r>
        <w:rPr>
          <w:rFonts w:ascii="Times New Roman" w:hAnsi="Times New Roman"/>
          <w:snapToGrid w:val="0"/>
          <w:color w:val="000000"/>
          <w:spacing w:val="-6"/>
        </w:rPr>
        <w:t>5）生霉粒（moldy kernel）：粒面生霉的颗粒。</w:t>
      </w:r>
      <w:r>
        <w:rPr>
          <w:rFonts w:hint="eastAsia" w:ascii="Times New Roman" w:hAnsi="Times New Roman"/>
          <w:snapToGrid w:val="0"/>
          <w:color w:val="000000"/>
          <w:spacing w:val="-6"/>
        </w:rPr>
        <w:t>同时观察标准样品</w:t>
      </w:r>
      <w:r>
        <w:rPr>
          <w:rFonts w:ascii="Times New Roman" w:hAnsi="Times New Roman"/>
          <w:snapToGrid w:val="0"/>
          <w:color w:val="000000"/>
          <w:spacing w:val="-6"/>
        </w:rPr>
        <w:t>各</w:t>
      </w:r>
      <w:r>
        <w:rPr>
          <w:rFonts w:hint="eastAsia" w:ascii="Times New Roman" w:hAnsi="Times New Roman"/>
          <w:snapToGrid w:val="0"/>
          <w:color w:val="000000"/>
          <w:spacing w:val="-6"/>
        </w:rPr>
        <w:t>种类</w:t>
      </w:r>
      <w:r>
        <w:rPr>
          <w:rFonts w:ascii="Times New Roman" w:hAnsi="Times New Roman"/>
          <w:snapToGrid w:val="0"/>
          <w:color w:val="000000"/>
          <w:spacing w:val="-6"/>
        </w:rPr>
        <w:t>的</w:t>
      </w:r>
      <w:r>
        <w:rPr>
          <w:rFonts w:hint="eastAsia" w:ascii="Times New Roman" w:hAnsi="Times New Roman"/>
          <w:snapToGrid w:val="0"/>
          <w:color w:val="000000"/>
          <w:spacing w:val="-6"/>
        </w:rPr>
        <w:t>1</w:t>
      </w:r>
      <w:r>
        <w:rPr>
          <w:rFonts w:ascii="Times New Roman" w:hAnsi="Times New Roman"/>
          <w:snapToGrid w:val="0"/>
          <w:color w:val="000000"/>
          <w:spacing w:val="-6"/>
        </w:rPr>
        <w:t>0</w:t>
      </w:r>
      <w:r>
        <w:rPr>
          <w:rFonts w:hint="eastAsia" w:ascii="Times New Roman" w:hAnsi="Times New Roman"/>
          <w:snapToGrid w:val="0"/>
          <w:color w:val="000000"/>
          <w:spacing w:val="-6"/>
        </w:rPr>
        <w:t>个籽粒中有几粒的</w:t>
      </w:r>
      <w:r>
        <w:rPr>
          <w:rFonts w:ascii="Times New Roman" w:hAnsi="Times New Roman"/>
          <w:snapToGrid w:val="0"/>
          <w:color w:val="000000"/>
          <w:spacing w:val="-6"/>
        </w:rPr>
        <w:t>鉴定特征发生变化（各</w:t>
      </w:r>
      <w:r>
        <w:rPr>
          <w:rFonts w:hint="eastAsia" w:ascii="Times New Roman" w:hAnsi="Times New Roman"/>
          <w:snapToGrid w:val="0"/>
          <w:color w:val="000000"/>
          <w:spacing w:val="-6"/>
        </w:rPr>
        <w:t>种类</w:t>
      </w:r>
      <w:r>
        <w:rPr>
          <w:rFonts w:ascii="Times New Roman" w:hAnsi="Times New Roman"/>
          <w:snapToGrid w:val="0"/>
          <w:color w:val="000000"/>
          <w:spacing w:val="-6"/>
        </w:rPr>
        <w:t>之间是否发生转化，如生芽粒遭虫蚀，出现虫蚀粒的鉴定特征；籽粒不完善程度是否减轻、加重或消失）、发生的变化是否影响结果鉴定</w:t>
      </w:r>
      <w:r>
        <w:rPr>
          <w:rFonts w:hint="eastAsia" w:ascii="Times New Roman" w:hAnsi="Times New Roman"/>
          <w:snapToGrid w:val="0"/>
          <w:color w:val="000000"/>
          <w:spacing w:val="-6"/>
        </w:rPr>
        <w:t>等</w:t>
      </w:r>
      <w:r>
        <w:rPr>
          <w:rFonts w:ascii="Times New Roman" w:hAnsi="Times New Roman"/>
          <w:snapToGrid w:val="0"/>
          <w:color w:val="000000"/>
          <w:spacing w:val="-6"/>
        </w:rPr>
        <w:t>。</w:t>
      </w:r>
      <w:r>
        <w:rPr>
          <w:rFonts w:hint="eastAsia" w:ascii="Times New Roman" w:hAnsi="Times New Roman"/>
          <w:snapToGrid w:val="0"/>
          <w:color w:val="000000"/>
          <w:spacing w:val="-6"/>
        </w:rPr>
        <w:t>1</w:t>
      </w:r>
      <w:r>
        <w:rPr>
          <w:rFonts w:ascii="Times New Roman" w:hAnsi="Times New Roman"/>
          <w:snapToGrid w:val="0"/>
          <w:color w:val="000000"/>
          <w:spacing w:val="-6"/>
        </w:rPr>
        <w:t>0</w:t>
      </w:r>
      <w:r>
        <w:rPr>
          <w:rFonts w:hint="eastAsia" w:ascii="Times New Roman" w:hAnsi="Times New Roman"/>
          <w:snapToGrid w:val="0"/>
          <w:color w:val="000000"/>
          <w:spacing w:val="-6"/>
        </w:rPr>
        <w:t>个籽粒中有几粒符合标准的描述、未</w:t>
      </w:r>
      <w:r>
        <w:rPr>
          <w:rFonts w:ascii="Times New Roman" w:hAnsi="Times New Roman"/>
          <w:snapToGrid w:val="0"/>
          <w:color w:val="000000"/>
          <w:spacing w:val="-6"/>
        </w:rPr>
        <w:t>发生</w:t>
      </w:r>
      <w:r>
        <w:rPr>
          <w:rFonts w:hint="eastAsia" w:ascii="Times New Roman" w:hAnsi="Times New Roman"/>
          <w:snapToGrid w:val="0"/>
          <w:color w:val="000000"/>
          <w:spacing w:val="-6"/>
        </w:rPr>
        <w:t>不完善粒种类</w:t>
      </w:r>
      <w:r>
        <w:rPr>
          <w:rFonts w:ascii="Times New Roman" w:hAnsi="Times New Roman"/>
          <w:snapToGrid w:val="0"/>
          <w:color w:val="000000"/>
          <w:spacing w:val="-6"/>
        </w:rPr>
        <w:t>转化</w:t>
      </w:r>
      <w:r>
        <w:rPr>
          <w:rFonts w:hint="eastAsia" w:ascii="Times New Roman" w:hAnsi="Times New Roman"/>
          <w:snapToGrid w:val="0"/>
          <w:color w:val="000000"/>
          <w:spacing w:val="-6"/>
        </w:rPr>
        <w:t>、</w:t>
      </w:r>
      <w:r>
        <w:rPr>
          <w:rFonts w:ascii="Times New Roman" w:hAnsi="Times New Roman"/>
          <w:snapToGrid w:val="0"/>
          <w:color w:val="000000"/>
          <w:spacing w:val="-6"/>
        </w:rPr>
        <w:t>籽粒不完善程度</w:t>
      </w:r>
      <w:r>
        <w:rPr>
          <w:rFonts w:hint="eastAsia" w:ascii="Times New Roman" w:hAnsi="Times New Roman"/>
          <w:snapToGrid w:val="0"/>
          <w:color w:val="000000"/>
          <w:spacing w:val="-6"/>
        </w:rPr>
        <w:t>未发生</w:t>
      </w:r>
      <w:r>
        <w:rPr>
          <w:rFonts w:ascii="Times New Roman" w:hAnsi="Times New Roman"/>
          <w:snapToGrid w:val="0"/>
          <w:color w:val="000000"/>
          <w:spacing w:val="-6"/>
        </w:rPr>
        <w:t>减轻、加重或消失</w:t>
      </w:r>
      <w:r>
        <w:rPr>
          <w:rFonts w:hint="eastAsia" w:ascii="Times New Roman" w:hAnsi="Times New Roman"/>
          <w:snapToGrid w:val="0"/>
          <w:color w:val="000000"/>
          <w:spacing w:val="-6"/>
        </w:rPr>
        <w:t>，则该保存条件下该类不完善粒的稳定性检验结果为几粒。</w:t>
      </w:r>
      <w:r>
        <w:rPr>
          <w:rFonts w:ascii="Times New Roman" w:hAnsi="Times New Roman"/>
          <w:snapToGrid w:val="0"/>
          <w:color w:val="000000"/>
          <w:spacing w:val="-6"/>
        </w:rPr>
        <w:t>详细检验结果见表1-20。</w:t>
      </w:r>
    </w:p>
    <w:p w14:paraId="56B4CD7A">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 小麦不完善粒标准样品-20</w:t>
      </w:r>
      <w:r>
        <w:rPr>
          <w:rFonts w:hint="eastAsia" w:ascii="Times New Roman" w:hAnsi="Times New Roman" w:eastAsia="黑体"/>
          <w:spacing w:val="-6"/>
        </w:rPr>
        <w:t>℃</w:t>
      </w:r>
      <w:r>
        <w:rPr>
          <w:rFonts w:ascii="Times New Roman" w:hAnsi="Times New Roman" w:eastAsia="黑体"/>
          <w:spacing w:val="-6"/>
        </w:rPr>
        <w:t>放置1天的稳定性检验结果</w:t>
      </w:r>
    </w:p>
    <w:tbl>
      <w:tblPr>
        <w:tblStyle w:val="28"/>
        <w:tblW w:w="9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3"/>
        <w:gridCol w:w="1543"/>
        <w:gridCol w:w="1543"/>
        <w:gridCol w:w="1543"/>
        <w:gridCol w:w="1543"/>
        <w:gridCol w:w="1546"/>
      </w:tblGrid>
      <w:tr w14:paraId="10E1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713BA679">
            <w:pPr>
              <w:widowControl/>
              <w:kinsoku w:val="0"/>
              <w:autoSpaceDE w:val="0"/>
              <w:autoSpaceDN w:val="0"/>
              <w:snapToGrid w:val="0"/>
              <w:spacing w:before="78" w:beforeLines="25" w:line="360" w:lineRule="auto"/>
              <w:jc w:val="center"/>
              <w:textAlignment w:val="baseline"/>
              <w:rPr>
                <w:rFonts w:ascii="Times New Roman" w:hAnsi="Times New Roman"/>
                <w:spacing w:val="-6"/>
              </w:rPr>
            </w:pPr>
            <w:bookmarkStart w:id="50" w:name="_Hlk25823321"/>
            <w:r>
              <w:rPr>
                <w:rFonts w:ascii="Times New Roman" w:hAnsi="Times New Roman"/>
                <w:spacing w:val="-6"/>
              </w:rPr>
              <w:t>样品号</w:t>
            </w:r>
          </w:p>
        </w:tc>
        <w:tc>
          <w:tcPr>
            <w:tcW w:w="1543" w:type="dxa"/>
            <w:vAlign w:val="center"/>
          </w:tcPr>
          <w:p w14:paraId="186E52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43" w:type="dxa"/>
            <w:vAlign w:val="center"/>
          </w:tcPr>
          <w:p w14:paraId="5B4E1AA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43" w:type="dxa"/>
            <w:vAlign w:val="center"/>
          </w:tcPr>
          <w:p w14:paraId="5E6079E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43" w:type="dxa"/>
            <w:vAlign w:val="center"/>
          </w:tcPr>
          <w:p w14:paraId="3630ECC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46" w:type="dxa"/>
            <w:vAlign w:val="center"/>
          </w:tcPr>
          <w:p w14:paraId="0DF87D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1C77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3CDAD11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43" w:type="dxa"/>
            <w:vAlign w:val="center"/>
          </w:tcPr>
          <w:p w14:paraId="31933C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7891B86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095C3F6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32F83E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788B8B9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1C0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3B0B863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43" w:type="dxa"/>
            <w:vAlign w:val="center"/>
          </w:tcPr>
          <w:p w14:paraId="4427FE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4D64529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1CC0E1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2E8EBDF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351A01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0A3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20449F5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43" w:type="dxa"/>
            <w:vAlign w:val="center"/>
          </w:tcPr>
          <w:p w14:paraId="03A274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0A6D50A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1EBC610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3BE3FAA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3413A4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FDE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3A77931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43" w:type="dxa"/>
            <w:vAlign w:val="center"/>
          </w:tcPr>
          <w:p w14:paraId="1851A2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0EE36CC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45D2027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24B54AB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5A007D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E25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01E976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43" w:type="dxa"/>
            <w:vAlign w:val="center"/>
          </w:tcPr>
          <w:p w14:paraId="74809BF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04EB999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5D6F037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06E4405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7D84790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C1E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4D1DF00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43" w:type="dxa"/>
            <w:vAlign w:val="center"/>
          </w:tcPr>
          <w:p w14:paraId="108D8FB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21D007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44C32C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0E873F2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758E389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8D2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7C24025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43" w:type="dxa"/>
            <w:vAlign w:val="center"/>
          </w:tcPr>
          <w:p w14:paraId="0C7A4A9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4A8BBF3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6E32BA2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2B1D487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1D7190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FB4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1EF98A5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43" w:type="dxa"/>
            <w:vAlign w:val="center"/>
          </w:tcPr>
          <w:p w14:paraId="663D41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56F9B10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4408A83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1B2B18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5F551FD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4E6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18096B7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43" w:type="dxa"/>
            <w:vAlign w:val="center"/>
          </w:tcPr>
          <w:p w14:paraId="3C6D297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42DCCDF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2BD7443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7C61D67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506E5CB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1FA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3" w:type="dxa"/>
            <w:vAlign w:val="center"/>
          </w:tcPr>
          <w:p w14:paraId="1355283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43" w:type="dxa"/>
            <w:vAlign w:val="center"/>
          </w:tcPr>
          <w:p w14:paraId="44F4BF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7C5B56A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5717CC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4719FF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4B7C7DF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bookmarkEnd w:id="50"/>
    </w:tbl>
    <w:p w14:paraId="7B02D4D3">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2 小麦不完善粒标准样品-20</w:t>
      </w:r>
      <w:r>
        <w:rPr>
          <w:rFonts w:hint="eastAsia" w:ascii="Times New Roman" w:hAnsi="Times New Roman" w:eastAsia="黑体"/>
          <w:spacing w:val="-6"/>
        </w:rPr>
        <w:t>℃</w:t>
      </w:r>
      <w:r>
        <w:rPr>
          <w:rFonts w:ascii="Times New Roman" w:hAnsi="Times New Roman" w:eastAsia="黑体"/>
          <w:spacing w:val="-6"/>
        </w:rPr>
        <w:t>放置3天的稳定性检验结果</w:t>
      </w:r>
    </w:p>
    <w:tbl>
      <w:tblPr>
        <w:tblStyle w:val="28"/>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545"/>
        <w:gridCol w:w="1545"/>
        <w:gridCol w:w="1545"/>
        <w:gridCol w:w="1545"/>
        <w:gridCol w:w="1549"/>
      </w:tblGrid>
      <w:tr w14:paraId="79C0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36ABA2B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45" w:type="dxa"/>
            <w:vAlign w:val="center"/>
          </w:tcPr>
          <w:p w14:paraId="718DD47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45" w:type="dxa"/>
            <w:vAlign w:val="center"/>
          </w:tcPr>
          <w:p w14:paraId="691DBE5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45" w:type="dxa"/>
            <w:vAlign w:val="center"/>
          </w:tcPr>
          <w:p w14:paraId="351BDE0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45" w:type="dxa"/>
            <w:vAlign w:val="center"/>
          </w:tcPr>
          <w:p w14:paraId="09229FB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49" w:type="dxa"/>
            <w:vAlign w:val="center"/>
          </w:tcPr>
          <w:p w14:paraId="1057220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3F46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5ECAE2A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45" w:type="dxa"/>
            <w:vAlign w:val="center"/>
          </w:tcPr>
          <w:p w14:paraId="286711D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15243CC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2A3C3F5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6456A40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6AE0707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BC8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150A5EE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45" w:type="dxa"/>
            <w:vAlign w:val="center"/>
          </w:tcPr>
          <w:p w14:paraId="49E7C9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C1C42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432722E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4F7245C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6DEC42B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A0E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0157A9B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45" w:type="dxa"/>
            <w:vAlign w:val="center"/>
          </w:tcPr>
          <w:p w14:paraId="1B15F6A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34A4D24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32235F5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120E877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527052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3EF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62D9D2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45" w:type="dxa"/>
            <w:vAlign w:val="center"/>
          </w:tcPr>
          <w:p w14:paraId="595B819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2687E5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466C45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42AB595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428E30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20A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63D2093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45" w:type="dxa"/>
            <w:vAlign w:val="center"/>
          </w:tcPr>
          <w:p w14:paraId="0BB99C1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6AA5EEE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7ACAF7D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7940BB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65914B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72E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3C0174C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45" w:type="dxa"/>
            <w:vAlign w:val="center"/>
          </w:tcPr>
          <w:p w14:paraId="1EEA222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172E0C6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C9EFFD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AC9EA4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0F2E1D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F42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592FE4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45" w:type="dxa"/>
            <w:vAlign w:val="center"/>
          </w:tcPr>
          <w:p w14:paraId="1D6564F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5E0466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17FAC1D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09EBA48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3012E0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0A9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049FC47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45" w:type="dxa"/>
            <w:vAlign w:val="center"/>
          </w:tcPr>
          <w:p w14:paraId="0040FA3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7CC334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4FD6F03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03CA97F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0E35CA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8C4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4449EBA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45" w:type="dxa"/>
            <w:vAlign w:val="center"/>
          </w:tcPr>
          <w:p w14:paraId="62E29BF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2A86505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7DC3D10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C36A35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37259B5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A7A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5" w:type="dxa"/>
            <w:vAlign w:val="center"/>
          </w:tcPr>
          <w:p w14:paraId="64A1EE5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45" w:type="dxa"/>
            <w:vAlign w:val="center"/>
          </w:tcPr>
          <w:p w14:paraId="3340AC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329C67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04AEAFA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3C94470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9" w:type="dxa"/>
            <w:vAlign w:val="center"/>
          </w:tcPr>
          <w:p w14:paraId="1F765A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6A1BC00B">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3 小麦不完善粒标准样品-20</w:t>
      </w:r>
      <w:r>
        <w:rPr>
          <w:rFonts w:hint="eastAsia" w:ascii="Times New Roman" w:hAnsi="Times New Roman" w:eastAsia="黑体"/>
          <w:spacing w:val="-6"/>
        </w:rPr>
        <w:t>℃</w:t>
      </w:r>
      <w:r>
        <w:rPr>
          <w:rFonts w:ascii="Times New Roman" w:hAnsi="Times New Roman" w:eastAsia="黑体"/>
          <w:spacing w:val="-6"/>
        </w:rPr>
        <w:t>放置7天的稳定性检验结果</w:t>
      </w:r>
    </w:p>
    <w:tbl>
      <w:tblPr>
        <w:tblStyle w:val="28"/>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2"/>
        <w:gridCol w:w="1542"/>
        <w:gridCol w:w="1542"/>
        <w:gridCol w:w="1542"/>
        <w:gridCol w:w="1542"/>
        <w:gridCol w:w="1545"/>
      </w:tblGrid>
      <w:tr w14:paraId="0B73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45A35C2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42" w:type="dxa"/>
            <w:vAlign w:val="center"/>
          </w:tcPr>
          <w:p w14:paraId="2713558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42" w:type="dxa"/>
            <w:vAlign w:val="center"/>
          </w:tcPr>
          <w:p w14:paraId="2BC5049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42" w:type="dxa"/>
            <w:vAlign w:val="center"/>
          </w:tcPr>
          <w:p w14:paraId="404D176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42" w:type="dxa"/>
            <w:vAlign w:val="center"/>
          </w:tcPr>
          <w:p w14:paraId="688887E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45" w:type="dxa"/>
            <w:vAlign w:val="center"/>
          </w:tcPr>
          <w:p w14:paraId="58D200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453C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772CC8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42" w:type="dxa"/>
            <w:vAlign w:val="center"/>
          </w:tcPr>
          <w:p w14:paraId="0C23C9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53F97BF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2514E7C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2E0D8B1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89E1F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FD0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2E20D37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42" w:type="dxa"/>
            <w:vAlign w:val="center"/>
          </w:tcPr>
          <w:p w14:paraId="3C5D98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6DBFCE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26F61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5FB6E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09DA1E7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389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441953D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42" w:type="dxa"/>
            <w:vAlign w:val="center"/>
          </w:tcPr>
          <w:p w14:paraId="1AB379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256E3A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0A6986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0D5D3CC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4CF163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604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37640D6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42" w:type="dxa"/>
            <w:vAlign w:val="center"/>
          </w:tcPr>
          <w:p w14:paraId="14639CE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4C8764B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012FCB0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218C796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251A1E3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E34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38A45BA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42" w:type="dxa"/>
            <w:vAlign w:val="center"/>
          </w:tcPr>
          <w:p w14:paraId="145C6A7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86C059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231EF6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5D5110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09FB06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C69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5217D9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42" w:type="dxa"/>
            <w:vAlign w:val="center"/>
          </w:tcPr>
          <w:p w14:paraId="77FFB3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279CEC2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4A1D96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6C15154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7FDF165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CBA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560C8E8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42" w:type="dxa"/>
            <w:vAlign w:val="center"/>
          </w:tcPr>
          <w:p w14:paraId="3AC56CD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42EE82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5322793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6C923EF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4186D5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25B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5424A83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42" w:type="dxa"/>
            <w:vAlign w:val="center"/>
          </w:tcPr>
          <w:p w14:paraId="1D55C20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E00AEE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B41B3A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2295ACE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63175D1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7CD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6347BC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42" w:type="dxa"/>
            <w:vAlign w:val="center"/>
          </w:tcPr>
          <w:p w14:paraId="52160B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2C336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061D8E1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6DFCF5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4322C43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D2B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1F118ED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42" w:type="dxa"/>
            <w:vAlign w:val="center"/>
          </w:tcPr>
          <w:p w14:paraId="7FA142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686F70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163A88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5E9C3F4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2B35773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42CFEB8E">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4 小麦不完善粒标准样品-20</w:t>
      </w:r>
      <w:r>
        <w:rPr>
          <w:rFonts w:hint="eastAsia" w:ascii="Times New Roman" w:hAnsi="Times New Roman" w:eastAsia="黑体"/>
          <w:spacing w:val="-6"/>
        </w:rPr>
        <w:t>℃</w:t>
      </w:r>
      <w:r>
        <w:rPr>
          <w:rFonts w:ascii="Times New Roman" w:hAnsi="Times New Roman" w:eastAsia="黑体"/>
          <w:spacing w:val="-6"/>
        </w:rPr>
        <w:t>放置14天的稳定性检验结果</w:t>
      </w:r>
    </w:p>
    <w:tbl>
      <w:tblPr>
        <w:tblStyle w:val="28"/>
        <w:tblW w:w="9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535"/>
        <w:gridCol w:w="1535"/>
        <w:gridCol w:w="1535"/>
        <w:gridCol w:w="1535"/>
        <w:gridCol w:w="1535"/>
      </w:tblGrid>
      <w:tr w14:paraId="5CC3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3D8C80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35" w:type="dxa"/>
            <w:vAlign w:val="center"/>
          </w:tcPr>
          <w:p w14:paraId="523046E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35" w:type="dxa"/>
            <w:vAlign w:val="center"/>
          </w:tcPr>
          <w:p w14:paraId="211C19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35" w:type="dxa"/>
            <w:vAlign w:val="center"/>
          </w:tcPr>
          <w:p w14:paraId="4DFCD65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35" w:type="dxa"/>
            <w:vAlign w:val="center"/>
          </w:tcPr>
          <w:p w14:paraId="77B788C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35" w:type="dxa"/>
            <w:vAlign w:val="center"/>
          </w:tcPr>
          <w:p w14:paraId="5707AEA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479F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4ECA3FF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35" w:type="dxa"/>
            <w:vAlign w:val="center"/>
          </w:tcPr>
          <w:p w14:paraId="40059C4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3248778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211E50E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2313A0F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4312E9C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C30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56433B5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35" w:type="dxa"/>
            <w:vAlign w:val="center"/>
          </w:tcPr>
          <w:p w14:paraId="6C4989E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5C3CF7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29EEEDF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4E2B229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67DB1E9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7CF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55AECED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35" w:type="dxa"/>
            <w:vAlign w:val="center"/>
          </w:tcPr>
          <w:p w14:paraId="2E415B0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1C4D13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53FF478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036885E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5BE6943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59C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39F96C5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35" w:type="dxa"/>
            <w:vAlign w:val="center"/>
          </w:tcPr>
          <w:p w14:paraId="30BE4DE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0FBF59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3AE8DB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123D268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4EFC718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362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2C6C1A2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35" w:type="dxa"/>
            <w:vAlign w:val="center"/>
          </w:tcPr>
          <w:p w14:paraId="4A33BC1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3DC345C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0758961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6C82F66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7733A58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954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3BC916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35" w:type="dxa"/>
            <w:vAlign w:val="center"/>
          </w:tcPr>
          <w:p w14:paraId="2C68BB1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48DE79F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19FA92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3CD191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4EC7FD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AF9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734C7DE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35" w:type="dxa"/>
            <w:vAlign w:val="center"/>
          </w:tcPr>
          <w:p w14:paraId="588671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38BF842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263D49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1832AC6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6B0BB3B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FA7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1082F8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35" w:type="dxa"/>
            <w:vAlign w:val="center"/>
          </w:tcPr>
          <w:p w14:paraId="0B95B1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08C5C94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26C727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41524F2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0DB2CE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3C1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092A571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35" w:type="dxa"/>
            <w:vAlign w:val="center"/>
          </w:tcPr>
          <w:p w14:paraId="385C5D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4A736F0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4976E0D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709B8F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1ACF0A0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62C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14:paraId="05610F6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35" w:type="dxa"/>
            <w:vAlign w:val="center"/>
          </w:tcPr>
          <w:p w14:paraId="77998B3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587E5C7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02AD8CB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56FBC8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35" w:type="dxa"/>
            <w:vAlign w:val="center"/>
          </w:tcPr>
          <w:p w14:paraId="14582F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4A50AD99">
      <w:pPr>
        <w:spacing w:before="156" w:beforeLines="50" w:line="360" w:lineRule="auto"/>
        <w:ind w:firstLine="420"/>
        <w:jc w:val="center"/>
        <w:rPr>
          <w:rFonts w:ascii="Times New Roman" w:hAnsi="Times New Roman" w:eastAsia="黑体"/>
          <w:spacing w:val="-6"/>
        </w:rPr>
      </w:pPr>
    </w:p>
    <w:p w14:paraId="1420A6DE">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5 小麦不完善粒标准样品4</w:t>
      </w:r>
      <w:r>
        <w:rPr>
          <w:rFonts w:hint="eastAsia" w:ascii="Times New Roman" w:hAnsi="Times New Roman" w:eastAsia="黑体"/>
          <w:spacing w:val="-6"/>
        </w:rPr>
        <w:t>℃</w:t>
      </w:r>
      <w:r>
        <w:rPr>
          <w:rFonts w:ascii="Times New Roman" w:hAnsi="Times New Roman" w:eastAsia="黑体"/>
          <w:spacing w:val="-6"/>
        </w:rPr>
        <w:t>放置1天的稳定性检验结果</w:t>
      </w:r>
    </w:p>
    <w:tbl>
      <w:tblPr>
        <w:tblStyle w:val="28"/>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1517"/>
        <w:gridCol w:w="1517"/>
        <w:gridCol w:w="1517"/>
        <w:gridCol w:w="1517"/>
        <w:gridCol w:w="1520"/>
      </w:tblGrid>
      <w:tr w14:paraId="4B62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43AE55C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17" w:type="dxa"/>
            <w:vAlign w:val="center"/>
          </w:tcPr>
          <w:p w14:paraId="121DD04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17" w:type="dxa"/>
            <w:vAlign w:val="center"/>
          </w:tcPr>
          <w:p w14:paraId="1CCBAF2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17" w:type="dxa"/>
            <w:vAlign w:val="center"/>
          </w:tcPr>
          <w:p w14:paraId="4D0B149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17" w:type="dxa"/>
            <w:vAlign w:val="center"/>
          </w:tcPr>
          <w:p w14:paraId="3D2242F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20" w:type="dxa"/>
            <w:vAlign w:val="center"/>
          </w:tcPr>
          <w:p w14:paraId="666F001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2460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26ABFA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17" w:type="dxa"/>
            <w:vAlign w:val="center"/>
          </w:tcPr>
          <w:p w14:paraId="2EC77A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35AB81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0F9A184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25A0F9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2B883B8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31B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34321FA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17" w:type="dxa"/>
            <w:vAlign w:val="center"/>
          </w:tcPr>
          <w:p w14:paraId="01F65E0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638324F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392ED8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5545C7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70FDC9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088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5EF256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17" w:type="dxa"/>
            <w:vAlign w:val="center"/>
          </w:tcPr>
          <w:p w14:paraId="11F4066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59A6C2A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6D85AE8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3C8607B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7CE24BF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D0B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5D0A2B0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17" w:type="dxa"/>
            <w:vAlign w:val="center"/>
          </w:tcPr>
          <w:p w14:paraId="6A2179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212C879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445B60D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009FB51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09F1D1D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84D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5502E0D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17" w:type="dxa"/>
            <w:vAlign w:val="center"/>
          </w:tcPr>
          <w:p w14:paraId="6A78244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1E14B8A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1BFD622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62AB001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552FDD6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3B9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4793EA3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17" w:type="dxa"/>
            <w:vAlign w:val="center"/>
          </w:tcPr>
          <w:p w14:paraId="108DF18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30780AA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083CB7F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1C6AC4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46FFF0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B5F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5F0C2A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17" w:type="dxa"/>
            <w:vAlign w:val="center"/>
          </w:tcPr>
          <w:p w14:paraId="70C4CF3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494F857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0ABF2D1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6330F06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678318E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693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791A8C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17" w:type="dxa"/>
            <w:vAlign w:val="center"/>
          </w:tcPr>
          <w:p w14:paraId="0A85452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35B9F73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3A4D55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43C90CD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12FE731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503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114D145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17" w:type="dxa"/>
            <w:vAlign w:val="center"/>
          </w:tcPr>
          <w:p w14:paraId="55120F5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30E27BB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7BB17E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63522F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62F67C1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FF3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9" w:type="dxa"/>
            <w:vAlign w:val="center"/>
          </w:tcPr>
          <w:p w14:paraId="1D52A46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17" w:type="dxa"/>
            <w:vAlign w:val="center"/>
          </w:tcPr>
          <w:p w14:paraId="067AB6E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2CC866F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1F229C1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17" w:type="dxa"/>
            <w:vAlign w:val="center"/>
          </w:tcPr>
          <w:p w14:paraId="0DCA3A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20" w:type="dxa"/>
            <w:vAlign w:val="center"/>
          </w:tcPr>
          <w:p w14:paraId="22436E8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0B41C464">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6 小麦不完善粒标准样品4</w:t>
      </w:r>
      <w:r>
        <w:rPr>
          <w:rFonts w:hint="eastAsia" w:ascii="Times New Roman" w:hAnsi="Times New Roman" w:eastAsia="黑体"/>
          <w:spacing w:val="-6"/>
        </w:rPr>
        <w:t>℃</w:t>
      </w:r>
      <w:r>
        <w:rPr>
          <w:rFonts w:ascii="Times New Roman" w:hAnsi="Times New Roman" w:eastAsia="黑体"/>
          <w:spacing w:val="-6"/>
        </w:rPr>
        <w:t>放置3天的稳定性检验结果</w:t>
      </w:r>
    </w:p>
    <w:tbl>
      <w:tblPr>
        <w:tblStyle w:val="28"/>
        <w:tblW w:w="9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7"/>
        <w:gridCol w:w="1567"/>
        <w:gridCol w:w="1567"/>
        <w:gridCol w:w="1567"/>
        <w:gridCol w:w="1567"/>
        <w:gridCol w:w="1567"/>
      </w:tblGrid>
      <w:tr w14:paraId="7D82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7517F7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67" w:type="dxa"/>
            <w:vAlign w:val="center"/>
          </w:tcPr>
          <w:p w14:paraId="337C45A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67" w:type="dxa"/>
            <w:vAlign w:val="center"/>
          </w:tcPr>
          <w:p w14:paraId="4187DEF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67" w:type="dxa"/>
            <w:vAlign w:val="center"/>
          </w:tcPr>
          <w:p w14:paraId="1481B3C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67" w:type="dxa"/>
            <w:vAlign w:val="center"/>
          </w:tcPr>
          <w:p w14:paraId="4ED996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67" w:type="dxa"/>
            <w:vAlign w:val="center"/>
          </w:tcPr>
          <w:p w14:paraId="0C719C3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391A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0B3D69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67" w:type="dxa"/>
            <w:vAlign w:val="center"/>
          </w:tcPr>
          <w:p w14:paraId="4DF808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F5DE4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0162F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E3183A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0C94876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56B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58EF0CC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67" w:type="dxa"/>
            <w:vAlign w:val="center"/>
          </w:tcPr>
          <w:p w14:paraId="65C98C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0011881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B9D788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32574B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6EFA5A6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B1B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47BC7C1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67" w:type="dxa"/>
            <w:vAlign w:val="center"/>
          </w:tcPr>
          <w:p w14:paraId="24F24F3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7ED67D7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059777A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ED5F14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094E4D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ED6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35DEA2C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67" w:type="dxa"/>
            <w:vAlign w:val="center"/>
          </w:tcPr>
          <w:p w14:paraId="391795B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58D77D1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5DE800D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874947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B6F7B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FB2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24A0E1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67" w:type="dxa"/>
            <w:vAlign w:val="center"/>
          </w:tcPr>
          <w:p w14:paraId="4AFF2C3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A4F85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7CB26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6783E60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A1DAE4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C33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3D68FFC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67" w:type="dxa"/>
            <w:vAlign w:val="center"/>
          </w:tcPr>
          <w:p w14:paraId="002A730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778CA5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69A94E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F38FBB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681D041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EC0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152633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67" w:type="dxa"/>
            <w:vAlign w:val="center"/>
          </w:tcPr>
          <w:p w14:paraId="759133D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5E7DE61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EF0E2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A25F3D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D0974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530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25DB6B5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67" w:type="dxa"/>
            <w:vAlign w:val="center"/>
          </w:tcPr>
          <w:p w14:paraId="6DB2E73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035C07D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7CA4754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C33FF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01ED3C5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B29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21B7183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67" w:type="dxa"/>
            <w:vAlign w:val="center"/>
          </w:tcPr>
          <w:p w14:paraId="0828C33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ED636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AFDD3E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6B5FB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5E8B904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E33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04D00A3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67" w:type="dxa"/>
            <w:vAlign w:val="center"/>
          </w:tcPr>
          <w:p w14:paraId="3C239E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D9367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5AEE999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0E87EF0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0FEACFD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526B8686">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7 小麦不完善粒标准样品4</w:t>
      </w:r>
      <w:r>
        <w:rPr>
          <w:rFonts w:hint="eastAsia" w:ascii="Times New Roman" w:hAnsi="Times New Roman" w:eastAsia="黑体"/>
          <w:spacing w:val="-6"/>
        </w:rPr>
        <w:t>℃</w:t>
      </w:r>
      <w:r>
        <w:rPr>
          <w:rFonts w:ascii="Times New Roman" w:hAnsi="Times New Roman" w:eastAsia="黑体"/>
          <w:spacing w:val="-6"/>
        </w:rPr>
        <w:t>放置7天的稳定性检验结果</w:t>
      </w:r>
    </w:p>
    <w:tbl>
      <w:tblPr>
        <w:tblStyle w:val="28"/>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1547"/>
        <w:gridCol w:w="1547"/>
        <w:gridCol w:w="1547"/>
        <w:gridCol w:w="1547"/>
        <w:gridCol w:w="1600"/>
      </w:tblGrid>
      <w:tr w14:paraId="065A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02149C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47" w:type="dxa"/>
            <w:vAlign w:val="center"/>
          </w:tcPr>
          <w:p w14:paraId="6BB14C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47" w:type="dxa"/>
            <w:vAlign w:val="center"/>
          </w:tcPr>
          <w:p w14:paraId="0BDFBD1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47" w:type="dxa"/>
            <w:vAlign w:val="center"/>
          </w:tcPr>
          <w:p w14:paraId="216517D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47" w:type="dxa"/>
            <w:vAlign w:val="center"/>
          </w:tcPr>
          <w:p w14:paraId="3E510E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600" w:type="dxa"/>
            <w:vAlign w:val="center"/>
          </w:tcPr>
          <w:p w14:paraId="46B41A1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5462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5D83728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47" w:type="dxa"/>
            <w:vAlign w:val="center"/>
          </w:tcPr>
          <w:p w14:paraId="16CCA2A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438951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061659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227A82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50DD49B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966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592C065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47" w:type="dxa"/>
            <w:vAlign w:val="center"/>
          </w:tcPr>
          <w:p w14:paraId="08FD16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706610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169CFFC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200E068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551E60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363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370747A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47" w:type="dxa"/>
            <w:vAlign w:val="center"/>
          </w:tcPr>
          <w:p w14:paraId="2D540E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0CC6FA7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4882DC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5F58BC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6A55A9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122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496924D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47" w:type="dxa"/>
            <w:vAlign w:val="center"/>
          </w:tcPr>
          <w:p w14:paraId="61B6420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280F4FF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6E7CBA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420B008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3B1F76E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F01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643DDAC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47" w:type="dxa"/>
            <w:vAlign w:val="center"/>
          </w:tcPr>
          <w:p w14:paraId="33FFC89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76BEDB5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12F2537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75786CD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27F577C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829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3B1B5D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47" w:type="dxa"/>
            <w:vAlign w:val="center"/>
          </w:tcPr>
          <w:p w14:paraId="23CBFB1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636D0B6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695C65E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18BD70A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3697C9E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EDA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6A33D53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47" w:type="dxa"/>
            <w:vAlign w:val="center"/>
          </w:tcPr>
          <w:p w14:paraId="6186998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03BCE3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006AD1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1CF70B7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4C7F68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959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257EE4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47" w:type="dxa"/>
            <w:vAlign w:val="center"/>
          </w:tcPr>
          <w:p w14:paraId="1014041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6AECD5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1AB9C5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63DBCB3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020F206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B48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1ECA0DF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47" w:type="dxa"/>
            <w:vAlign w:val="center"/>
          </w:tcPr>
          <w:p w14:paraId="4887B6F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19831E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5646A4A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6F2818E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7050152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378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dxa"/>
            <w:vAlign w:val="center"/>
          </w:tcPr>
          <w:p w14:paraId="38256F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47" w:type="dxa"/>
            <w:vAlign w:val="center"/>
          </w:tcPr>
          <w:p w14:paraId="0F2362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5B7E1B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10042C0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7" w:type="dxa"/>
            <w:vAlign w:val="center"/>
          </w:tcPr>
          <w:p w14:paraId="0B19B2B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600" w:type="dxa"/>
            <w:vAlign w:val="center"/>
          </w:tcPr>
          <w:p w14:paraId="73EA6D8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43B9F6A1">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8 小麦不完善粒标准样品4</w:t>
      </w:r>
      <w:r>
        <w:rPr>
          <w:rFonts w:hint="eastAsia" w:ascii="Times New Roman" w:hAnsi="Times New Roman" w:eastAsia="黑体"/>
          <w:spacing w:val="-6"/>
        </w:rPr>
        <w:t>℃</w:t>
      </w:r>
      <w:r>
        <w:rPr>
          <w:rFonts w:ascii="Times New Roman" w:hAnsi="Times New Roman" w:eastAsia="黑体"/>
          <w:spacing w:val="-6"/>
        </w:rPr>
        <w:t>放置14天的稳定性检验结果</w:t>
      </w:r>
    </w:p>
    <w:tbl>
      <w:tblPr>
        <w:tblStyle w:val="28"/>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1556"/>
        <w:gridCol w:w="1556"/>
        <w:gridCol w:w="1556"/>
        <w:gridCol w:w="1556"/>
        <w:gridCol w:w="1559"/>
      </w:tblGrid>
      <w:tr w14:paraId="626B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50375F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56" w:type="dxa"/>
            <w:vAlign w:val="center"/>
          </w:tcPr>
          <w:p w14:paraId="7766B31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56" w:type="dxa"/>
            <w:vAlign w:val="center"/>
          </w:tcPr>
          <w:p w14:paraId="39F2B1C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56" w:type="dxa"/>
            <w:vAlign w:val="center"/>
          </w:tcPr>
          <w:p w14:paraId="2E9B39D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56" w:type="dxa"/>
            <w:vAlign w:val="center"/>
          </w:tcPr>
          <w:p w14:paraId="1407EF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59" w:type="dxa"/>
            <w:vAlign w:val="center"/>
          </w:tcPr>
          <w:p w14:paraId="0F73A41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1C2B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4B2D40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56" w:type="dxa"/>
            <w:vAlign w:val="center"/>
          </w:tcPr>
          <w:p w14:paraId="220760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013820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76FB8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740FB4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197E45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047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3E406D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56" w:type="dxa"/>
            <w:vAlign w:val="center"/>
          </w:tcPr>
          <w:p w14:paraId="48A747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47E5C9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0EB391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9E2E5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308A2F5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283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02F2655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56" w:type="dxa"/>
            <w:vAlign w:val="center"/>
          </w:tcPr>
          <w:p w14:paraId="282622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A058FC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26A37B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FE725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419EC1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BB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1406C2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56" w:type="dxa"/>
            <w:vAlign w:val="center"/>
          </w:tcPr>
          <w:p w14:paraId="62695CF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7F2184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43D378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2D321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18C07E5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3E1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4F567FB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56" w:type="dxa"/>
            <w:vAlign w:val="center"/>
          </w:tcPr>
          <w:p w14:paraId="446DF7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49AE85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474666E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72E5E52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78962A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421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6842E5C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56" w:type="dxa"/>
            <w:vAlign w:val="center"/>
          </w:tcPr>
          <w:p w14:paraId="6976FA1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464E73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7E0654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3EE906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0225EDD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0A9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123435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56" w:type="dxa"/>
            <w:vAlign w:val="center"/>
          </w:tcPr>
          <w:p w14:paraId="780310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8AE3BA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3F32E0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DD9FF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4F2DF1F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462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6056BC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56" w:type="dxa"/>
            <w:vAlign w:val="center"/>
          </w:tcPr>
          <w:p w14:paraId="7A9CB5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68D907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68EFC11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0D004A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5750087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D12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3C2D6E5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56" w:type="dxa"/>
            <w:vAlign w:val="center"/>
          </w:tcPr>
          <w:p w14:paraId="35EDF92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057D5F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35B86EA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7F78DBF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5A9ABB5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D22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537815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56" w:type="dxa"/>
            <w:vAlign w:val="center"/>
          </w:tcPr>
          <w:p w14:paraId="40EA4ED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77DF6C5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14D18F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5C33B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9" w:type="dxa"/>
            <w:vAlign w:val="center"/>
          </w:tcPr>
          <w:p w14:paraId="7DCEAF2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32DEA3CD">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9 小麦不完善粒标准样品25</w:t>
      </w:r>
      <w:r>
        <w:rPr>
          <w:rFonts w:hint="eastAsia" w:ascii="Times New Roman" w:hAnsi="Times New Roman" w:eastAsia="黑体"/>
          <w:spacing w:val="-6"/>
        </w:rPr>
        <w:t>℃</w:t>
      </w:r>
      <w:r>
        <w:rPr>
          <w:rFonts w:ascii="Times New Roman" w:hAnsi="Times New Roman" w:eastAsia="黑体"/>
          <w:spacing w:val="-6"/>
        </w:rPr>
        <w:t>放置1天的稳定性检验结果</w:t>
      </w:r>
    </w:p>
    <w:tbl>
      <w:tblPr>
        <w:tblStyle w:val="28"/>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555"/>
        <w:gridCol w:w="1555"/>
        <w:gridCol w:w="1555"/>
        <w:gridCol w:w="1555"/>
        <w:gridCol w:w="1560"/>
      </w:tblGrid>
      <w:tr w14:paraId="5491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223ECF4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55" w:type="dxa"/>
            <w:vAlign w:val="center"/>
          </w:tcPr>
          <w:p w14:paraId="5EA3C96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55" w:type="dxa"/>
            <w:vAlign w:val="center"/>
          </w:tcPr>
          <w:p w14:paraId="4C71C3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55" w:type="dxa"/>
            <w:vAlign w:val="center"/>
          </w:tcPr>
          <w:p w14:paraId="4376BA6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55" w:type="dxa"/>
            <w:vAlign w:val="center"/>
          </w:tcPr>
          <w:p w14:paraId="3CD9268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60" w:type="dxa"/>
            <w:vAlign w:val="center"/>
          </w:tcPr>
          <w:p w14:paraId="71A7FC9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6E30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761C6AE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55" w:type="dxa"/>
            <w:vAlign w:val="center"/>
          </w:tcPr>
          <w:p w14:paraId="3B3D8F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43B470A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7C52ED5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14681CA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79207B8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F22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5BD95A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55" w:type="dxa"/>
            <w:vAlign w:val="center"/>
          </w:tcPr>
          <w:p w14:paraId="3C8156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48E87B8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19D8BE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2B14960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4FCD39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E63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48CA18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55" w:type="dxa"/>
            <w:vAlign w:val="center"/>
          </w:tcPr>
          <w:p w14:paraId="0C28C22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12AE4E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43F825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21C92D1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3DD3B8C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5B3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4A0F20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55" w:type="dxa"/>
            <w:vAlign w:val="center"/>
          </w:tcPr>
          <w:p w14:paraId="41624A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72D69D9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2E67A6A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597152E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6B87040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F70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31BEF6C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55" w:type="dxa"/>
            <w:vAlign w:val="center"/>
          </w:tcPr>
          <w:p w14:paraId="060D52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4810E9C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4BE54E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36F63C1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1F6B38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B12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3CEF6A1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55" w:type="dxa"/>
            <w:vAlign w:val="center"/>
          </w:tcPr>
          <w:p w14:paraId="47C4D8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65A44E8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6B65FB3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426278B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56BCFB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17C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7775CFE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55" w:type="dxa"/>
            <w:vAlign w:val="center"/>
          </w:tcPr>
          <w:p w14:paraId="7DB53E0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2D19C1C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502CA9E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5C7F6B0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1F3A7A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B17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441C0C7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55" w:type="dxa"/>
            <w:vAlign w:val="center"/>
          </w:tcPr>
          <w:p w14:paraId="031630C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055B1BF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134B9C8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56BFFB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1E1808D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BE7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752F3C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55" w:type="dxa"/>
            <w:vAlign w:val="center"/>
          </w:tcPr>
          <w:p w14:paraId="303477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67D2786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1061EB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179B00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3075A2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A4C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14:paraId="7473B3D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55" w:type="dxa"/>
            <w:vAlign w:val="center"/>
          </w:tcPr>
          <w:p w14:paraId="15C84B1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3FF5FD3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5B00CA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48524E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18A2D83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23DC51E6">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10 小麦不完善粒标准样品25</w:t>
      </w:r>
      <w:r>
        <w:rPr>
          <w:rFonts w:hint="eastAsia" w:ascii="Times New Roman" w:hAnsi="Times New Roman" w:eastAsia="黑体"/>
          <w:spacing w:val="-6"/>
        </w:rPr>
        <w:t>℃</w:t>
      </w:r>
      <w:r>
        <w:rPr>
          <w:rFonts w:ascii="Times New Roman" w:hAnsi="Times New Roman" w:eastAsia="黑体"/>
          <w:spacing w:val="-6"/>
        </w:rPr>
        <w:t>放置3天的稳定性检验结果</w:t>
      </w:r>
    </w:p>
    <w:tbl>
      <w:tblPr>
        <w:tblStyle w:val="28"/>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3"/>
        <w:gridCol w:w="1553"/>
        <w:gridCol w:w="1553"/>
        <w:gridCol w:w="1553"/>
        <w:gridCol w:w="1553"/>
        <w:gridCol w:w="1555"/>
      </w:tblGrid>
      <w:tr w14:paraId="645E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563EAB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53" w:type="dxa"/>
            <w:vAlign w:val="center"/>
          </w:tcPr>
          <w:p w14:paraId="3D3B1B7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53" w:type="dxa"/>
            <w:vAlign w:val="center"/>
          </w:tcPr>
          <w:p w14:paraId="1F99B7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53" w:type="dxa"/>
            <w:vAlign w:val="center"/>
          </w:tcPr>
          <w:p w14:paraId="6714A7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53" w:type="dxa"/>
            <w:vAlign w:val="center"/>
          </w:tcPr>
          <w:p w14:paraId="1E7103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55" w:type="dxa"/>
            <w:vAlign w:val="center"/>
          </w:tcPr>
          <w:p w14:paraId="70A77C7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183F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19AA0A7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53" w:type="dxa"/>
            <w:vAlign w:val="center"/>
          </w:tcPr>
          <w:p w14:paraId="2B5FCD9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155E342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5A048F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7C110D1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353047C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C9C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593243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53" w:type="dxa"/>
            <w:vAlign w:val="center"/>
          </w:tcPr>
          <w:p w14:paraId="7864E9D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526B91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03BBD4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57C5737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4CEA892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5D4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7095A0B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53" w:type="dxa"/>
            <w:vAlign w:val="center"/>
          </w:tcPr>
          <w:p w14:paraId="3743F8C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45ACCCC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1138D53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4C599B6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24AB2C7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12F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55689A0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53" w:type="dxa"/>
            <w:vAlign w:val="center"/>
          </w:tcPr>
          <w:p w14:paraId="28E9F11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31D38E9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1C124BB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04F0686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15E304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7A3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56227CC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53" w:type="dxa"/>
            <w:vAlign w:val="center"/>
          </w:tcPr>
          <w:p w14:paraId="041A141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7780C35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21D2C16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2D52CD0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5C9192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263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2610A1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53" w:type="dxa"/>
            <w:vAlign w:val="center"/>
          </w:tcPr>
          <w:p w14:paraId="670096D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1CA7ABB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6774789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7A43B15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11F656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B16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26E3C63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53" w:type="dxa"/>
            <w:vAlign w:val="center"/>
          </w:tcPr>
          <w:p w14:paraId="0B379A1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6F1E94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034459F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703CE53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6B31A86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686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4F52841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53" w:type="dxa"/>
            <w:vAlign w:val="center"/>
          </w:tcPr>
          <w:p w14:paraId="2BA23B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09DED75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44F7E07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746B60D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566E0A1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965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121D440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53" w:type="dxa"/>
            <w:vAlign w:val="center"/>
          </w:tcPr>
          <w:p w14:paraId="07C81B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22E193C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42EFE0E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07932DE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3454845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6D4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3" w:type="dxa"/>
            <w:vAlign w:val="center"/>
          </w:tcPr>
          <w:p w14:paraId="34BBC6B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53" w:type="dxa"/>
            <w:vAlign w:val="center"/>
          </w:tcPr>
          <w:p w14:paraId="22C3509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39F6AEB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47991C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3" w:type="dxa"/>
            <w:vAlign w:val="center"/>
          </w:tcPr>
          <w:p w14:paraId="57D56DA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5" w:type="dxa"/>
            <w:vAlign w:val="center"/>
          </w:tcPr>
          <w:p w14:paraId="31DC2D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738EBE7B">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11 小麦不完善粒标准样品25</w:t>
      </w:r>
      <w:r>
        <w:rPr>
          <w:rFonts w:hint="eastAsia" w:ascii="Times New Roman" w:hAnsi="Times New Roman" w:eastAsia="黑体"/>
          <w:spacing w:val="-6"/>
        </w:rPr>
        <w:t>℃</w:t>
      </w:r>
      <w:r>
        <w:rPr>
          <w:rFonts w:ascii="Times New Roman" w:hAnsi="Times New Roman" w:eastAsia="黑体"/>
          <w:spacing w:val="-6"/>
        </w:rPr>
        <w:t>放置7天的稳定性检验结果</w:t>
      </w:r>
    </w:p>
    <w:tbl>
      <w:tblPr>
        <w:tblStyle w:val="28"/>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2"/>
        <w:gridCol w:w="1562"/>
        <w:gridCol w:w="1562"/>
        <w:gridCol w:w="1562"/>
        <w:gridCol w:w="1562"/>
        <w:gridCol w:w="1566"/>
      </w:tblGrid>
      <w:tr w14:paraId="665E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462E6E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62" w:type="dxa"/>
            <w:vAlign w:val="center"/>
          </w:tcPr>
          <w:p w14:paraId="7E4445D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62" w:type="dxa"/>
            <w:vAlign w:val="center"/>
          </w:tcPr>
          <w:p w14:paraId="1C388FD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62" w:type="dxa"/>
            <w:vAlign w:val="center"/>
          </w:tcPr>
          <w:p w14:paraId="40F213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62" w:type="dxa"/>
            <w:vAlign w:val="center"/>
          </w:tcPr>
          <w:p w14:paraId="21E9AA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66" w:type="dxa"/>
            <w:vAlign w:val="center"/>
          </w:tcPr>
          <w:p w14:paraId="1C2C30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09D6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55E3C61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62" w:type="dxa"/>
            <w:vAlign w:val="center"/>
          </w:tcPr>
          <w:p w14:paraId="1E33B24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404C328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463B36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68B4A39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74F584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46F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05058EC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62" w:type="dxa"/>
            <w:vAlign w:val="center"/>
          </w:tcPr>
          <w:p w14:paraId="41440D1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6AB7E5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2BF31D6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28BACB8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2120051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AD0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175F7FF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62" w:type="dxa"/>
            <w:vAlign w:val="center"/>
          </w:tcPr>
          <w:p w14:paraId="45BDF8E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2401C6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731A93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5D8C8E6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744088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CEE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5EC50A4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62" w:type="dxa"/>
            <w:vAlign w:val="center"/>
          </w:tcPr>
          <w:p w14:paraId="482932C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6F8D80A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228CDB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10D0D26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362462C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474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4D8C46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62" w:type="dxa"/>
            <w:vAlign w:val="center"/>
          </w:tcPr>
          <w:p w14:paraId="1976F8B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042FC5D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37C5A8A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34E365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12C3969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FB3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2C3DA45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62" w:type="dxa"/>
            <w:vAlign w:val="center"/>
          </w:tcPr>
          <w:p w14:paraId="53D564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3C6A7D7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5C5CF94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75D4F77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0626205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156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2516FA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62" w:type="dxa"/>
            <w:vAlign w:val="center"/>
          </w:tcPr>
          <w:p w14:paraId="7D9380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1EB4623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0929DF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265E0F1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0175053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DDF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630EF08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62" w:type="dxa"/>
            <w:vAlign w:val="center"/>
          </w:tcPr>
          <w:p w14:paraId="4F2D7BC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1EF397D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0215765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0C6AA46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7231DC5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5B1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05B8255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62" w:type="dxa"/>
            <w:vAlign w:val="center"/>
          </w:tcPr>
          <w:p w14:paraId="047E56A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7DCEED6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0677679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2DCE8CA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67F60F3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DBF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2" w:type="dxa"/>
            <w:vAlign w:val="center"/>
          </w:tcPr>
          <w:p w14:paraId="7485CB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62" w:type="dxa"/>
            <w:vAlign w:val="center"/>
          </w:tcPr>
          <w:p w14:paraId="4BE9D5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64A29E6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4DA44EA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2" w:type="dxa"/>
            <w:vAlign w:val="center"/>
          </w:tcPr>
          <w:p w14:paraId="3369559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6" w:type="dxa"/>
            <w:vAlign w:val="center"/>
          </w:tcPr>
          <w:p w14:paraId="6B04AF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2A175B83">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12 小麦不完善粒标准样品25</w:t>
      </w:r>
      <w:r>
        <w:rPr>
          <w:rFonts w:hint="eastAsia" w:ascii="Times New Roman" w:hAnsi="Times New Roman" w:eastAsia="黑体"/>
          <w:spacing w:val="-6"/>
        </w:rPr>
        <w:t>℃</w:t>
      </w:r>
      <w:r>
        <w:rPr>
          <w:rFonts w:ascii="Times New Roman" w:hAnsi="Times New Roman" w:eastAsia="黑体"/>
          <w:spacing w:val="-6"/>
        </w:rPr>
        <w:t>放置14天的稳定性检验结果</w:t>
      </w:r>
    </w:p>
    <w:tbl>
      <w:tblPr>
        <w:tblStyle w:val="28"/>
        <w:tblW w:w="9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1563"/>
        <w:gridCol w:w="1563"/>
        <w:gridCol w:w="1563"/>
        <w:gridCol w:w="1563"/>
        <w:gridCol w:w="1567"/>
      </w:tblGrid>
      <w:tr w14:paraId="2B0E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5D1E72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63" w:type="dxa"/>
            <w:vAlign w:val="center"/>
          </w:tcPr>
          <w:p w14:paraId="742DB81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63" w:type="dxa"/>
            <w:vAlign w:val="center"/>
          </w:tcPr>
          <w:p w14:paraId="18FCFB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63" w:type="dxa"/>
            <w:vAlign w:val="center"/>
          </w:tcPr>
          <w:p w14:paraId="3C47D0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63" w:type="dxa"/>
            <w:vAlign w:val="center"/>
          </w:tcPr>
          <w:p w14:paraId="2A0E42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67" w:type="dxa"/>
            <w:vAlign w:val="center"/>
          </w:tcPr>
          <w:p w14:paraId="000717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55B0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78FF0D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63" w:type="dxa"/>
            <w:vAlign w:val="center"/>
          </w:tcPr>
          <w:p w14:paraId="6BB5BA8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35C1640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5727F13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325D57B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1FB03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509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6A1D230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63" w:type="dxa"/>
            <w:vAlign w:val="center"/>
          </w:tcPr>
          <w:p w14:paraId="7AD6AD7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8C8D4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6B9461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367C4EA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59E1586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0EA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586B4F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63" w:type="dxa"/>
            <w:vAlign w:val="center"/>
          </w:tcPr>
          <w:p w14:paraId="27C343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08F38B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022D3CA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C7D31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09D2A3F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468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639D295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63" w:type="dxa"/>
            <w:vAlign w:val="center"/>
          </w:tcPr>
          <w:p w14:paraId="1F4782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564C7E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5654C28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0CB6987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54030F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A26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7A372B1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63" w:type="dxa"/>
            <w:vAlign w:val="center"/>
          </w:tcPr>
          <w:p w14:paraId="317DE69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46039D1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3AEA00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2D3ECFA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5DB093E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7130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22D76C2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63" w:type="dxa"/>
            <w:vAlign w:val="center"/>
          </w:tcPr>
          <w:p w14:paraId="3D5CA3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2605D4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48B366B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257748E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6C348D0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CEA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7012CD8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63" w:type="dxa"/>
            <w:vAlign w:val="center"/>
          </w:tcPr>
          <w:p w14:paraId="1C6397B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33BF77F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536ABCB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40D76F5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3D7E7F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DA0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2FA85D5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63" w:type="dxa"/>
            <w:vAlign w:val="center"/>
          </w:tcPr>
          <w:p w14:paraId="69128C2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0798A0E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056239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245427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B74099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F40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59ECCC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63" w:type="dxa"/>
            <w:vAlign w:val="center"/>
          </w:tcPr>
          <w:p w14:paraId="6C717D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58DAC8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5C483BF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5A3247C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55F97D1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2D9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43D2425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63" w:type="dxa"/>
            <w:vAlign w:val="center"/>
          </w:tcPr>
          <w:p w14:paraId="744764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71D9617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3B7CE87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41EF467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37036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74B035E2">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13 小麦不完善粒标准样品37</w:t>
      </w:r>
      <w:r>
        <w:rPr>
          <w:rFonts w:hint="eastAsia" w:ascii="Times New Roman" w:hAnsi="Times New Roman" w:eastAsia="黑体"/>
          <w:spacing w:val="-6"/>
        </w:rPr>
        <w:t>℃</w:t>
      </w:r>
      <w:r>
        <w:rPr>
          <w:rFonts w:ascii="Times New Roman" w:hAnsi="Times New Roman" w:eastAsia="黑体"/>
          <w:spacing w:val="-6"/>
        </w:rPr>
        <w:t>放置1天的稳定性检验结果</w:t>
      </w:r>
    </w:p>
    <w:tbl>
      <w:tblPr>
        <w:tblStyle w:val="28"/>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1563"/>
        <w:gridCol w:w="1563"/>
        <w:gridCol w:w="1563"/>
        <w:gridCol w:w="1563"/>
        <w:gridCol w:w="1565"/>
      </w:tblGrid>
      <w:tr w14:paraId="65DF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2710058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63" w:type="dxa"/>
            <w:vAlign w:val="center"/>
          </w:tcPr>
          <w:p w14:paraId="2CB0F19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63" w:type="dxa"/>
            <w:vAlign w:val="center"/>
          </w:tcPr>
          <w:p w14:paraId="1B304C9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63" w:type="dxa"/>
            <w:vAlign w:val="center"/>
          </w:tcPr>
          <w:p w14:paraId="26F76C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63" w:type="dxa"/>
            <w:vAlign w:val="center"/>
          </w:tcPr>
          <w:p w14:paraId="7D0128A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65" w:type="dxa"/>
            <w:vAlign w:val="center"/>
          </w:tcPr>
          <w:p w14:paraId="308127C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329B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4AF313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63" w:type="dxa"/>
            <w:vAlign w:val="center"/>
          </w:tcPr>
          <w:p w14:paraId="6A3790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70BC603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05C435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53479A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7CFDE08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EBC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1A48A7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63" w:type="dxa"/>
            <w:vAlign w:val="center"/>
          </w:tcPr>
          <w:p w14:paraId="704DAC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6EE207D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7052F8B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3A1BDD2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59FFA07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273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705B6F8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63" w:type="dxa"/>
            <w:vAlign w:val="center"/>
          </w:tcPr>
          <w:p w14:paraId="7ED23D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6295C39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267D16F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27E650B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49B3D15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A46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6B2F0D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63" w:type="dxa"/>
            <w:vAlign w:val="center"/>
          </w:tcPr>
          <w:p w14:paraId="072E682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A5E29B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2971FB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4B867A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016D544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E83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6B9035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63" w:type="dxa"/>
            <w:vAlign w:val="center"/>
          </w:tcPr>
          <w:p w14:paraId="1653F85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2E6A7C5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4631F16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05079CD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1017DC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C11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1B0F343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63" w:type="dxa"/>
            <w:vAlign w:val="center"/>
          </w:tcPr>
          <w:p w14:paraId="3153309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5F7B1DE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13781C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97AC57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15F5A6E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412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0EB2AC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63" w:type="dxa"/>
            <w:vAlign w:val="center"/>
          </w:tcPr>
          <w:p w14:paraId="77902D7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712E45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72048F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4C9C8E3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2D0997D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472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28A4D94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63" w:type="dxa"/>
            <w:vAlign w:val="center"/>
          </w:tcPr>
          <w:p w14:paraId="573119F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1BD0A8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1C494D3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4324C41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7484C4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101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5C75551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63" w:type="dxa"/>
            <w:vAlign w:val="center"/>
          </w:tcPr>
          <w:p w14:paraId="1C4D79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6349FE5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28AE1EC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3ADF78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2A19208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FA8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dxa"/>
            <w:vAlign w:val="center"/>
          </w:tcPr>
          <w:p w14:paraId="422FE08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63" w:type="dxa"/>
            <w:vAlign w:val="center"/>
          </w:tcPr>
          <w:p w14:paraId="41C4E38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39594EA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322BB8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3" w:type="dxa"/>
            <w:vAlign w:val="center"/>
          </w:tcPr>
          <w:p w14:paraId="524F4A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46EF91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1F3CE6AC">
      <w:pPr>
        <w:spacing w:after="156" w:afterLines="50" w:line="360" w:lineRule="auto"/>
        <w:ind w:firstLine="482" w:firstLineChars="200"/>
        <w:jc w:val="center"/>
        <w:rPr>
          <w:b/>
          <w:bCs/>
          <w:sz w:val="24"/>
        </w:rPr>
      </w:pPr>
    </w:p>
    <w:p w14:paraId="7E6A1332">
      <w:pPr>
        <w:spacing w:after="156" w:afterLines="50" w:line="360" w:lineRule="auto"/>
        <w:ind w:firstLine="482" w:firstLineChars="200"/>
        <w:jc w:val="center"/>
        <w:rPr>
          <w:b/>
          <w:bCs/>
          <w:sz w:val="24"/>
        </w:rPr>
      </w:pPr>
    </w:p>
    <w:p w14:paraId="466F66A4">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14 小麦不完善粒标准样品37</w:t>
      </w:r>
      <w:r>
        <w:rPr>
          <w:rFonts w:hint="eastAsia" w:ascii="Times New Roman" w:hAnsi="Times New Roman" w:eastAsia="黑体"/>
          <w:spacing w:val="-6"/>
        </w:rPr>
        <w:t>℃</w:t>
      </w:r>
      <w:r>
        <w:rPr>
          <w:rFonts w:ascii="Times New Roman" w:hAnsi="Times New Roman" w:eastAsia="黑体"/>
          <w:spacing w:val="-6"/>
        </w:rPr>
        <w:t>放置3天的稳定性检验结果</w:t>
      </w:r>
    </w:p>
    <w:tbl>
      <w:tblPr>
        <w:tblStyle w:val="28"/>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1556"/>
        <w:gridCol w:w="1556"/>
        <w:gridCol w:w="1556"/>
        <w:gridCol w:w="1556"/>
        <w:gridCol w:w="1556"/>
      </w:tblGrid>
      <w:tr w14:paraId="3A65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3AC1769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56" w:type="dxa"/>
            <w:vAlign w:val="center"/>
          </w:tcPr>
          <w:p w14:paraId="2AF091D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56" w:type="dxa"/>
            <w:vAlign w:val="center"/>
          </w:tcPr>
          <w:p w14:paraId="6A16F9E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56" w:type="dxa"/>
            <w:vAlign w:val="center"/>
          </w:tcPr>
          <w:p w14:paraId="0E7D2F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56" w:type="dxa"/>
            <w:vAlign w:val="center"/>
          </w:tcPr>
          <w:p w14:paraId="739C46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56" w:type="dxa"/>
            <w:vAlign w:val="center"/>
          </w:tcPr>
          <w:p w14:paraId="4D47110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5F0F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757FD6D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56" w:type="dxa"/>
            <w:vAlign w:val="center"/>
          </w:tcPr>
          <w:p w14:paraId="44620B7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005DA1F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31BC8F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7BF886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0841CAD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2B0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6EA65F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56" w:type="dxa"/>
            <w:vAlign w:val="center"/>
          </w:tcPr>
          <w:p w14:paraId="7F9DFA1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6A8F4B5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64A61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3E9813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6B37B1E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34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457E061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56" w:type="dxa"/>
            <w:vAlign w:val="center"/>
          </w:tcPr>
          <w:p w14:paraId="0EBC6B2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6D66DB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E0C441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79DB5D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855165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764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7032B81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56" w:type="dxa"/>
            <w:vAlign w:val="center"/>
          </w:tcPr>
          <w:p w14:paraId="64CCDB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21F609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8C9036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429467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2404A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B54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2580DF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56" w:type="dxa"/>
            <w:vAlign w:val="center"/>
          </w:tcPr>
          <w:p w14:paraId="5BFD29C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A390FB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A1B9C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30533BE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042DC7B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339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201AB67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56" w:type="dxa"/>
            <w:vAlign w:val="center"/>
          </w:tcPr>
          <w:p w14:paraId="3BD6998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32CC563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6413453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253C17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72312A8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B97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250144E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56" w:type="dxa"/>
            <w:vAlign w:val="center"/>
          </w:tcPr>
          <w:p w14:paraId="3CBC928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94E2B9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36EC3FC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057F7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69C7A8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909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6CE0F2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56" w:type="dxa"/>
            <w:vAlign w:val="center"/>
          </w:tcPr>
          <w:p w14:paraId="0CBD469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44948F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1A805A1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490BCBB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6493E6C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E69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1401E5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56" w:type="dxa"/>
            <w:vAlign w:val="center"/>
          </w:tcPr>
          <w:p w14:paraId="27C5185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4F4311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B14836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3D01BE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06E370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825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6" w:type="dxa"/>
            <w:vAlign w:val="center"/>
          </w:tcPr>
          <w:p w14:paraId="0995003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56" w:type="dxa"/>
            <w:vAlign w:val="center"/>
          </w:tcPr>
          <w:p w14:paraId="34367A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91799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0976881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23503EF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56" w:type="dxa"/>
            <w:vAlign w:val="center"/>
          </w:tcPr>
          <w:p w14:paraId="588C44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04CD081B">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15 小麦不完善粒标准样品37</w:t>
      </w:r>
      <w:r>
        <w:rPr>
          <w:rFonts w:hint="eastAsia" w:ascii="Times New Roman" w:hAnsi="Times New Roman" w:eastAsia="黑体"/>
          <w:spacing w:val="-6"/>
        </w:rPr>
        <w:t>℃</w:t>
      </w:r>
      <w:r>
        <w:rPr>
          <w:rFonts w:ascii="Times New Roman" w:hAnsi="Times New Roman" w:eastAsia="黑体"/>
          <w:spacing w:val="-6"/>
        </w:rPr>
        <w:t>放置7天的稳定性检验结果</w:t>
      </w:r>
    </w:p>
    <w:tbl>
      <w:tblPr>
        <w:tblStyle w:val="28"/>
        <w:tblW w:w="9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560"/>
        <w:gridCol w:w="1560"/>
        <w:gridCol w:w="1560"/>
        <w:gridCol w:w="1560"/>
        <w:gridCol w:w="1565"/>
      </w:tblGrid>
      <w:tr w14:paraId="538A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48BC98E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60" w:type="dxa"/>
            <w:vAlign w:val="center"/>
          </w:tcPr>
          <w:p w14:paraId="0642860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60" w:type="dxa"/>
            <w:vAlign w:val="center"/>
          </w:tcPr>
          <w:p w14:paraId="411C5F2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60" w:type="dxa"/>
            <w:vAlign w:val="center"/>
          </w:tcPr>
          <w:p w14:paraId="787C611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60" w:type="dxa"/>
            <w:vAlign w:val="center"/>
          </w:tcPr>
          <w:p w14:paraId="56A5B97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65" w:type="dxa"/>
            <w:vAlign w:val="center"/>
          </w:tcPr>
          <w:p w14:paraId="2EC841A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0378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010E260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60" w:type="dxa"/>
            <w:vAlign w:val="center"/>
          </w:tcPr>
          <w:p w14:paraId="16D688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3F39D76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2909C0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7617DB4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0C430DE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B15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344895B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60" w:type="dxa"/>
            <w:vAlign w:val="center"/>
          </w:tcPr>
          <w:p w14:paraId="5FA3433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1557BE9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6236DC7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6DB419D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314F524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429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027AC50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60" w:type="dxa"/>
            <w:vAlign w:val="center"/>
          </w:tcPr>
          <w:p w14:paraId="3AE658C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31E837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349CF0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03D3FAB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7646C61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3C1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21D967C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60" w:type="dxa"/>
            <w:vAlign w:val="center"/>
          </w:tcPr>
          <w:p w14:paraId="2C6F2B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3FDC823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097D15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1EA185D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35972D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8E8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36EFD41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60" w:type="dxa"/>
            <w:vAlign w:val="center"/>
          </w:tcPr>
          <w:p w14:paraId="29A9458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5DDC786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6E04AC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444D946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6F4443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78A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7453CAC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60" w:type="dxa"/>
            <w:vAlign w:val="center"/>
          </w:tcPr>
          <w:p w14:paraId="4D9615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11D2CCA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5F011F8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4923F6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03ABF96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411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23FACF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60" w:type="dxa"/>
            <w:vAlign w:val="center"/>
          </w:tcPr>
          <w:p w14:paraId="67FD766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01B4893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05FFD7A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42FFB8C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67611F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48B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0193771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60" w:type="dxa"/>
            <w:vAlign w:val="center"/>
          </w:tcPr>
          <w:p w14:paraId="114BC4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22AE2B9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0ECB8D5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31FA5B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6C9D95D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70C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217D6D1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60" w:type="dxa"/>
            <w:vAlign w:val="center"/>
          </w:tcPr>
          <w:p w14:paraId="63CF4C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22C5CD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1976E3D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010E5E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1F40E1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759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5868EB6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60" w:type="dxa"/>
            <w:vAlign w:val="center"/>
          </w:tcPr>
          <w:p w14:paraId="4C1B823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565FEF3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396A073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0" w:type="dxa"/>
            <w:vAlign w:val="center"/>
          </w:tcPr>
          <w:p w14:paraId="33A4E1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5" w:type="dxa"/>
            <w:vAlign w:val="center"/>
          </w:tcPr>
          <w:p w14:paraId="575A1EB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71B006D9">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16 小麦不完善粒标准样品37</w:t>
      </w:r>
      <w:r>
        <w:rPr>
          <w:rFonts w:hint="eastAsia" w:ascii="Times New Roman" w:hAnsi="Times New Roman" w:eastAsia="黑体"/>
          <w:spacing w:val="-6"/>
        </w:rPr>
        <w:t>℃</w:t>
      </w:r>
      <w:r>
        <w:rPr>
          <w:rFonts w:ascii="Times New Roman" w:hAnsi="Times New Roman" w:eastAsia="黑体"/>
          <w:spacing w:val="-6"/>
        </w:rPr>
        <w:t>放置14天的稳定性检验结果</w:t>
      </w:r>
    </w:p>
    <w:tbl>
      <w:tblPr>
        <w:tblStyle w:val="28"/>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1546"/>
        <w:gridCol w:w="1546"/>
        <w:gridCol w:w="1546"/>
        <w:gridCol w:w="1546"/>
        <w:gridCol w:w="1548"/>
      </w:tblGrid>
      <w:tr w14:paraId="0383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0903AA4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46" w:type="dxa"/>
            <w:vAlign w:val="center"/>
          </w:tcPr>
          <w:p w14:paraId="6CA7E13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46" w:type="dxa"/>
            <w:vAlign w:val="center"/>
          </w:tcPr>
          <w:p w14:paraId="7F781E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46" w:type="dxa"/>
            <w:vAlign w:val="center"/>
          </w:tcPr>
          <w:p w14:paraId="3E35EEF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46" w:type="dxa"/>
            <w:vAlign w:val="center"/>
          </w:tcPr>
          <w:p w14:paraId="361E0A1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48" w:type="dxa"/>
            <w:vAlign w:val="center"/>
          </w:tcPr>
          <w:p w14:paraId="39761EA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025A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698B1B6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46" w:type="dxa"/>
            <w:vAlign w:val="center"/>
          </w:tcPr>
          <w:p w14:paraId="18A6A5C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4C32334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3CE549C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434B8F1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44BC2E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67C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66491AA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46" w:type="dxa"/>
            <w:vAlign w:val="center"/>
          </w:tcPr>
          <w:p w14:paraId="1D9166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6E0F31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57F85EC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6E589F0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58D9CC3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7AE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62CC3B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46" w:type="dxa"/>
            <w:vAlign w:val="center"/>
          </w:tcPr>
          <w:p w14:paraId="5025C8C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549538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7B9D443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5B4F3AA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098969D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8C0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6E79765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46" w:type="dxa"/>
            <w:vAlign w:val="center"/>
          </w:tcPr>
          <w:p w14:paraId="44BF165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71C9F7B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6C3183C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4298F74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015443F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18F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313D77F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46" w:type="dxa"/>
            <w:vAlign w:val="center"/>
          </w:tcPr>
          <w:p w14:paraId="1E2FC5B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29C1A9A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05975B6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1A996E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0B29117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052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4C3A43C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46" w:type="dxa"/>
            <w:vAlign w:val="center"/>
          </w:tcPr>
          <w:p w14:paraId="724600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029B9ED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27284F8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507FD03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5263236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122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40A275F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46" w:type="dxa"/>
            <w:vAlign w:val="center"/>
          </w:tcPr>
          <w:p w14:paraId="3393FC6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4F4742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7BC0BA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2BC8BA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4EB42CA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A16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445E6DF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46" w:type="dxa"/>
            <w:vAlign w:val="center"/>
          </w:tcPr>
          <w:p w14:paraId="75ACBC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7ECC11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75CFCAE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3FA7054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0581A7F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7E8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2E57F73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46" w:type="dxa"/>
            <w:vAlign w:val="center"/>
          </w:tcPr>
          <w:p w14:paraId="7FB491C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4D4AAA4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447479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4357DE6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1CFCC39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AB5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2B055F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46" w:type="dxa"/>
            <w:vAlign w:val="center"/>
          </w:tcPr>
          <w:p w14:paraId="083A568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4116655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133999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6" w:type="dxa"/>
            <w:vAlign w:val="center"/>
          </w:tcPr>
          <w:p w14:paraId="23D43B6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1FF87BE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4DC4F337">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17 小麦不完善粒标准样品45</w:t>
      </w:r>
      <w:r>
        <w:rPr>
          <w:rFonts w:hint="eastAsia" w:ascii="Times New Roman" w:hAnsi="Times New Roman" w:eastAsia="黑体"/>
          <w:spacing w:val="-6"/>
        </w:rPr>
        <w:t>℃</w:t>
      </w:r>
      <w:r>
        <w:rPr>
          <w:rFonts w:ascii="Times New Roman" w:hAnsi="Times New Roman" w:eastAsia="黑体"/>
          <w:spacing w:val="-6"/>
        </w:rPr>
        <w:t>放置1天的稳定性检验结果</w:t>
      </w:r>
    </w:p>
    <w:tbl>
      <w:tblPr>
        <w:tblStyle w:val="28"/>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2"/>
        <w:gridCol w:w="1542"/>
        <w:gridCol w:w="1542"/>
        <w:gridCol w:w="1542"/>
        <w:gridCol w:w="1542"/>
        <w:gridCol w:w="1545"/>
      </w:tblGrid>
      <w:tr w14:paraId="6896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17B3665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42" w:type="dxa"/>
            <w:vAlign w:val="center"/>
          </w:tcPr>
          <w:p w14:paraId="5868E30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42" w:type="dxa"/>
            <w:vAlign w:val="center"/>
          </w:tcPr>
          <w:p w14:paraId="4ADA66D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42" w:type="dxa"/>
            <w:vAlign w:val="center"/>
          </w:tcPr>
          <w:p w14:paraId="37A779F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42" w:type="dxa"/>
            <w:vAlign w:val="center"/>
          </w:tcPr>
          <w:p w14:paraId="2EFF570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45" w:type="dxa"/>
            <w:vAlign w:val="center"/>
          </w:tcPr>
          <w:p w14:paraId="14BB181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03D8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03094EF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42" w:type="dxa"/>
            <w:vAlign w:val="center"/>
          </w:tcPr>
          <w:p w14:paraId="17265A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56230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12F5609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6A8739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60BE693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B6D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173937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42" w:type="dxa"/>
            <w:vAlign w:val="center"/>
          </w:tcPr>
          <w:p w14:paraId="0920CD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4A7EA4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78B3F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41655D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7E807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B23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40AD79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42" w:type="dxa"/>
            <w:vAlign w:val="center"/>
          </w:tcPr>
          <w:p w14:paraId="5A0D41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4998B88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02EB177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0FF0DC1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26385B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4A3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72961E9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42" w:type="dxa"/>
            <w:vAlign w:val="center"/>
          </w:tcPr>
          <w:p w14:paraId="0420E1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C6940B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6CE5BB1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444794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091924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F0B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3DA24F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42" w:type="dxa"/>
            <w:vAlign w:val="center"/>
          </w:tcPr>
          <w:p w14:paraId="16C3E09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38ADA2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0DF6B2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061E632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6CE9A8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48B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1045E48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42" w:type="dxa"/>
            <w:vAlign w:val="center"/>
          </w:tcPr>
          <w:p w14:paraId="645DA18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709B91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4B0F72E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2AB84BB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7B3D2A4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095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368D332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42" w:type="dxa"/>
            <w:vAlign w:val="center"/>
          </w:tcPr>
          <w:p w14:paraId="61F11FC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7A5D451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672FC8A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2F32D93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4CC4AFB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9DD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7598655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42" w:type="dxa"/>
            <w:vAlign w:val="center"/>
          </w:tcPr>
          <w:p w14:paraId="7275CB1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2BFD52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065130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097644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3AEE0FB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34C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2E2342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42" w:type="dxa"/>
            <w:vAlign w:val="center"/>
          </w:tcPr>
          <w:p w14:paraId="19A917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06E463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02B69E1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32DC915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52C038B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ED1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14:paraId="10143A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42" w:type="dxa"/>
            <w:vAlign w:val="center"/>
          </w:tcPr>
          <w:p w14:paraId="731D3CD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43B322E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4A4FA17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2" w:type="dxa"/>
            <w:vAlign w:val="center"/>
          </w:tcPr>
          <w:p w14:paraId="6BF1EAA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5" w:type="dxa"/>
            <w:vAlign w:val="center"/>
          </w:tcPr>
          <w:p w14:paraId="3AC4111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0FF186D0">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18 小麦不完善粒标准样品45</w:t>
      </w:r>
      <w:r>
        <w:rPr>
          <w:rFonts w:hint="eastAsia" w:ascii="Times New Roman" w:hAnsi="Times New Roman" w:eastAsia="黑体"/>
          <w:spacing w:val="-6"/>
        </w:rPr>
        <w:t>℃</w:t>
      </w:r>
      <w:r>
        <w:rPr>
          <w:rFonts w:ascii="Times New Roman" w:hAnsi="Times New Roman" w:eastAsia="黑体"/>
          <w:spacing w:val="-6"/>
        </w:rPr>
        <w:t>放置3天的稳定性检验结果</w:t>
      </w:r>
    </w:p>
    <w:tbl>
      <w:tblPr>
        <w:tblStyle w:val="28"/>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1540"/>
        <w:gridCol w:w="1540"/>
        <w:gridCol w:w="1540"/>
        <w:gridCol w:w="1540"/>
        <w:gridCol w:w="1541"/>
      </w:tblGrid>
      <w:tr w14:paraId="75BE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3FCD80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40" w:type="dxa"/>
            <w:vAlign w:val="center"/>
          </w:tcPr>
          <w:p w14:paraId="49BA208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40" w:type="dxa"/>
            <w:vAlign w:val="center"/>
          </w:tcPr>
          <w:p w14:paraId="047F86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40" w:type="dxa"/>
            <w:vAlign w:val="center"/>
          </w:tcPr>
          <w:p w14:paraId="2B58E9E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40" w:type="dxa"/>
            <w:vAlign w:val="center"/>
          </w:tcPr>
          <w:p w14:paraId="0D12C66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41" w:type="dxa"/>
            <w:vAlign w:val="center"/>
          </w:tcPr>
          <w:p w14:paraId="2451EB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70B7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34CAA67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40" w:type="dxa"/>
            <w:vAlign w:val="center"/>
          </w:tcPr>
          <w:p w14:paraId="5D60827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5A7AC0C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3242D4E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48EDB13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61B4D0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1CA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59A8624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40" w:type="dxa"/>
            <w:vAlign w:val="center"/>
          </w:tcPr>
          <w:p w14:paraId="2BD067C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75296F5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51A2469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597AAF7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52A9A9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314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66557C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40" w:type="dxa"/>
            <w:vAlign w:val="center"/>
          </w:tcPr>
          <w:p w14:paraId="7889281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40D46D4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3070EBC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7711E0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03DE529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C34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32A49FC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40" w:type="dxa"/>
            <w:vAlign w:val="center"/>
          </w:tcPr>
          <w:p w14:paraId="7091CC6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245AECE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4F3FF66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63DD5B2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3DFF0A2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065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0E4A46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40" w:type="dxa"/>
            <w:vAlign w:val="center"/>
          </w:tcPr>
          <w:p w14:paraId="5288569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536FA75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7D739A6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56F8686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12C9BD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3C0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424EE69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40" w:type="dxa"/>
            <w:vAlign w:val="center"/>
          </w:tcPr>
          <w:p w14:paraId="67F0FD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234C58D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42F8A4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57C2AA1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6203B84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3BA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45502B8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40" w:type="dxa"/>
            <w:vAlign w:val="center"/>
          </w:tcPr>
          <w:p w14:paraId="2FA33A0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23F50F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0B580B9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4BC219F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706AFEB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D16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2C5FCDC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40" w:type="dxa"/>
            <w:vAlign w:val="center"/>
          </w:tcPr>
          <w:p w14:paraId="7266C9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6C455FA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3C7415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4C59D1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2CC5D8B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FD5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292802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40" w:type="dxa"/>
            <w:vAlign w:val="center"/>
          </w:tcPr>
          <w:p w14:paraId="7EF6CBF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5CFC90E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605018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7BDB22F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20D8FF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CD3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vAlign w:val="center"/>
          </w:tcPr>
          <w:p w14:paraId="752845F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40" w:type="dxa"/>
            <w:vAlign w:val="center"/>
          </w:tcPr>
          <w:p w14:paraId="2510141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74DF21E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2F245E3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0" w:type="dxa"/>
            <w:vAlign w:val="center"/>
          </w:tcPr>
          <w:p w14:paraId="213ECF3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01A0B1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2CCD156C">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19 小麦不完善粒标准样品45</w:t>
      </w:r>
      <w:r>
        <w:rPr>
          <w:rFonts w:hint="eastAsia" w:ascii="Times New Roman" w:hAnsi="Times New Roman" w:eastAsia="黑体"/>
          <w:spacing w:val="-6"/>
        </w:rPr>
        <w:t>℃</w:t>
      </w:r>
      <w:r>
        <w:rPr>
          <w:rFonts w:ascii="Times New Roman" w:hAnsi="Times New Roman" w:eastAsia="黑体"/>
          <w:spacing w:val="-6"/>
        </w:rPr>
        <w:t>放置7天的稳定性检验结果</w:t>
      </w:r>
    </w:p>
    <w:tbl>
      <w:tblPr>
        <w:tblStyle w:val="28"/>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4"/>
        <w:gridCol w:w="1544"/>
        <w:gridCol w:w="1544"/>
        <w:gridCol w:w="1544"/>
        <w:gridCol w:w="1544"/>
        <w:gridCol w:w="1548"/>
      </w:tblGrid>
      <w:tr w14:paraId="079A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52BB940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44" w:type="dxa"/>
            <w:vAlign w:val="center"/>
          </w:tcPr>
          <w:p w14:paraId="0129E2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44" w:type="dxa"/>
            <w:vAlign w:val="center"/>
          </w:tcPr>
          <w:p w14:paraId="3EE94BF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44" w:type="dxa"/>
            <w:vAlign w:val="center"/>
          </w:tcPr>
          <w:p w14:paraId="1713B2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44" w:type="dxa"/>
            <w:vAlign w:val="center"/>
          </w:tcPr>
          <w:p w14:paraId="69ACE18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48" w:type="dxa"/>
            <w:vAlign w:val="center"/>
          </w:tcPr>
          <w:p w14:paraId="285608C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79EA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5C315DA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44" w:type="dxa"/>
            <w:vAlign w:val="center"/>
          </w:tcPr>
          <w:p w14:paraId="6CE3BE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780814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68FA960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705B683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7DBA94C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0C1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28F8008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44" w:type="dxa"/>
            <w:vAlign w:val="center"/>
          </w:tcPr>
          <w:p w14:paraId="4D38F81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1D93257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310FF64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4C68E6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6F523B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5DC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69A777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44" w:type="dxa"/>
            <w:vAlign w:val="center"/>
          </w:tcPr>
          <w:p w14:paraId="5892FF3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1A55B7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657FA0E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6C4B8DE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29900A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E4F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417FF2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44" w:type="dxa"/>
            <w:vAlign w:val="center"/>
          </w:tcPr>
          <w:p w14:paraId="648F34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64E443F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241004E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159968F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395C8B0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A51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2A5EE93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44" w:type="dxa"/>
            <w:vAlign w:val="center"/>
          </w:tcPr>
          <w:p w14:paraId="16259F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3C6B684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7F8BF0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368E1C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04F4B1A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85C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57C5868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44" w:type="dxa"/>
            <w:vAlign w:val="center"/>
          </w:tcPr>
          <w:p w14:paraId="4FC805B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47915C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2E96C53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691793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488B703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1D1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004409E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44" w:type="dxa"/>
            <w:vAlign w:val="center"/>
          </w:tcPr>
          <w:p w14:paraId="4D3B8D9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00B3FB6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13C077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59C6CE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3AE016A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259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0ECF9B4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44" w:type="dxa"/>
            <w:vAlign w:val="center"/>
          </w:tcPr>
          <w:p w14:paraId="4D84028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5C62B15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51393E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1C30D7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18D79AC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3B7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5E9C437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44" w:type="dxa"/>
            <w:vAlign w:val="center"/>
          </w:tcPr>
          <w:p w14:paraId="2BD62F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52D931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714F41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08944D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3C765C1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6B0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vAlign w:val="center"/>
          </w:tcPr>
          <w:p w14:paraId="5D38A44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44" w:type="dxa"/>
            <w:vAlign w:val="center"/>
          </w:tcPr>
          <w:p w14:paraId="6102D61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44DB0C5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227527F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4" w:type="dxa"/>
            <w:vAlign w:val="center"/>
          </w:tcPr>
          <w:p w14:paraId="038C129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8" w:type="dxa"/>
            <w:vAlign w:val="center"/>
          </w:tcPr>
          <w:p w14:paraId="2FB10F9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2B2CA646">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20 小麦不完善粒标准样品45</w:t>
      </w:r>
      <w:r>
        <w:rPr>
          <w:rFonts w:hint="eastAsia" w:ascii="Times New Roman" w:hAnsi="Times New Roman" w:eastAsia="黑体"/>
          <w:spacing w:val="-6"/>
        </w:rPr>
        <w:t>℃</w:t>
      </w:r>
      <w:r>
        <w:rPr>
          <w:rFonts w:ascii="Times New Roman" w:hAnsi="Times New Roman" w:eastAsia="黑体"/>
          <w:spacing w:val="-6"/>
        </w:rPr>
        <w:t>放置14天的稳定性检验结果</w:t>
      </w:r>
    </w:p>
    <w:tbl>
      <w:tblPr>
        <w:tblStyle w:val="28"/>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1"/>
        <w:gridCol w:w="1541"/>
        <w:gridCol w:w="1541"/>
        <w:gridCol w:w="1541"/>
        <w:gridCol w:w="1541"/>
        <w:gridCol w:w="1543"/>
      </w:tblGrid>
      <w:tr w14:paraId="5888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6AF39BD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41" w:type="dxa"/>
            <w:vAlign w:val="center"/>
          </w:tcPr>
          <w:p w14:paraId="1EADEA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41" w:type="dxa"/>
            <w:vAlign w:val="center"/>
          </w:tcPr>
          <w:p w14:paraId="10F822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41" w:type="dxa"/>
            <w:vAlign w:val="center"/>
          </w:tcPr>
          <w:p w14:paraId="1A5CE46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41" w:type="dxa"/>
            <w:vAlign w:val="center"/>
          </w:tcPr>
          <w:p w14:paraId="78B2FE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43" w:type="dxa"/>
            <w:vAlign w:val="center"/>
          </w:tcPr>
          <w:p w14:paraId="05DBB3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6E43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0DB5EA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41" w:type="dxa"/>
            <w:vAlign w:val="center"/>
          </w:tcPr>
          <w:p w14:paraId="16FBD2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55BF5B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2924C45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028DFF5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1C89D1D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3F6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27D37B6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41" w:type="dxa"/>
            <w:vAlign w:val="center"/>
          </w:tcPr>
          <w:p w14:paraId="7731904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437801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6DD1129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08C38B3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50BFAA5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A2B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110092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41" w:type="dxa"/>
            <w:vAlign w:val="center"/>
          </w:tcPr>
          <w:p w14:paraId="5E0D7DC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469ED5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5674F8B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60757B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1607895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16A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3E85DCD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41" w:type="dxa"/>
            <w:vAlign w:val="center"/>
          </w:tcPr>
          <w:p w14:paraId="307535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1B95986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55048A3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2A3883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550B669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FFD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6DA857D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41" w:type="dxa"/>
            <w:vAlign w:val="center"/>
          </w:tcPr>
          <w:p w14:paraId="6E3F73E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134D5A6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1990F46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68FD2A5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534D853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C93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21D2C32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41" w:type="dxa"/>
            <w:vAlign w:val="center"/>
          </w:tcPr>
          <w:p w14:paraId="2D95355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502B13D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1FA5919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2DCE86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66FD40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8DE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5B3E9CE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41" w:type="dxa"/>
            <w:vAlign w:val="center"/>
          </w:tcPr>
          <w:p w14:paraId="0C1685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570AF2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5A063B9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3C2A06C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3353974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840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7486EF9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41" w:type="dxa"/>
            <w:vAlign w:val="center"/>
          </w:tcPr>
          <w:p w14:paraId="77A2CE0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3BC779C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6E98866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6C695B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20DFE4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E85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6851923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41" w:type="dxa"/>
            <w:vAlign w:val="center"/>
          </w:tcPr>
          <w:p w14:paraId="1C63E17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3ECE3C2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08E6391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03285B6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3E466B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553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41" w:type="dxa"/>
            <w:vAlign w:val="center"/>
          </w:tcPr>
          <w:p w14:paraId="406E17D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41" w:type="dxa"/>
            <w:vAlign w:val="center"/>
          </w:tcPr>
          <w:p w14:paraId="5A961B3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4B9F64C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3CE9DE9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1" w:type="dxa"/>
            <w:vAlign w:val="center"/>
          </w:tcPr>
          <w:p w14:paraId="730C23F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43" w:type="dxa"/>
            <w:vAlign w:val="center"/>
          </w:tcPr>
          <w:p w14:paraId="33CC72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2D361305"/>
    <w:p w14:paraId="0E84604A">
      <w:pPr>
        <w:spacing w:line="360" w:lineRule="auto"/>
        <w:ind w:firstLine="396" w:firstLineChars="200"/>
        <w:rPr>
          <w:rFonts w:ascii="Times New Roman" w:hAnsi="Times New Roman"/>
          <w:snapToGrid w:val="0"/>
          <w:spacing w:val="-6"/>
        </w:rPr>
      </w:pPr>
      <w:r>
        <w:rPr>
          <w:rFonts w:ascii="Times New Roman" w:hAnsi="Times New Roman"/>
          <w:snapToGrid w:val="0"/>
          <w:spacing w:val="-6"/>
        </w:rPr>
        <w:t>种子的生物学外部形态特征不会随着时间的推移发生很大变化，而且是被镶嵌在树脂中，标准样品整体为实心的固体，内部无液体或气体空间，避免了氧化、发霉、虫蚀、变质及外部机械力量损伤而导致的形态变化，所以保存条件的变化对标准样品外部形态没有影响，标准样品的鉴定特征在很长时间内都是稳定的。同时，本项目使用的高透环氧树脂耐受的温度范围为-50</w:t>
      </w:r>
      <w:r>
        <w:rPr>
          <w:rFonts w:hint="eastAsia" w:ascii="Times New Roman" w:hAnsi="Times New Roman"/>
          <w:snapToGrid w:val="0"/>
          <w:spacing w:val="-6"/>
        </w:rPr>
        <w:t>℃</w:t>
      </w:r>
      <w:r>
        <w:rPr>
          <w:rFonts w:ascii="Times New Roman" w:hAnsi="Times New Roman"/>
          <w:snapToGrid w:val="0"/>
          <w:spacing w:val="-6"/>
        </w:rPr>
        <w:t>～180</w:t>
      </w:r>
      <w:r>
        <w:rPr>
          <w:rFonts w:hint="eastAsia" w:ascii="Times New Roman" w:hAnsi="Times New Roman"/>
          <w:snapToGrid w:val="0"/>
          <w:spacing w:val="-6"/>
        </w:rPr>
        <w:t>℃</w:t>
      </w:r>
      <w:r>
        <w:rPr>
          <w:rFonts w:ascii="Times New Roman" w:hAnsi="Times New Roman"/>
          <w:snapToGrid w:val="0"/>
          <w:spacing w:val="-6"/>
        </w:rPr>
        <w:t>，满足标准样品运输和保存的温度范围。检验结果发现不同保存条件下，小麦不完善粒</w:t>
      </w:r>
      <w:r>
        <w:rPr>
          <w:rFonts w:hint="eastAsia" w:ascii="Times New Roman" w:hAnsi="Times New Roman"/>
          <w:snapToGrid w:val="0"/>
          <w:spacing w:val="-6"/>
        </w:rPr>
        <w:t>标准样品</w:t>
      </w:r>
      <w:r>
        <w:rPr>
          <w:rFonts w:ascii="Times New Roman" w:hAnsi="Times New Roman"/>
          <w:snapToGrid w:val="0"/>
          <w:spacing w:val="-6"/>
        </w:rPr>
        <w:t>各</w:t>
      </w:r>
      <w:r>
        <w:rPr>
          <w:rFonts w:hint="eastAsia" w:ascii="Times New Roman" w:hAnsi="Times New Roman"/>
          <w:snapToGrid w:val="0"/>
          <w:spacing w:val="-6"/>
        </w:rPr>
        <w:t>种类的1</w:t>
      </w:r>
      <w:r>
        <w:rPr>
          <w:rFonts w:ascii="Times New Roman" w:hAnsi="Times New Roman"/>
          <w:snapToGrid w:val="0"/>
          <w:spacing w:val="-6"/>
        </w:rPr>
        <w:t>0</w:t>
      </w:r>
      <w:r>
        <w:rPr>
          <w:rFonts w:hint="eastAsia" w:ascii="Times New Roman" w:hAnsi="Times New Roman"/>
          <w:snapToGrid w:val="0"/>
          <w:spacing w:val="-6"/>
        </w:rPr>
        <w:t>个籽粒均符合标准中的描述，各种类</w:t>
      </w:r>
      <w:r>
        <w:rPr>
          <w:rFonts w:ascii="Times New Roman" w:hAnsi="Times New Roman"/>
          <w:snapToGrid w:val="0"/>
          <w:spacing w:val="-6"/>
        </w:rPr>
        <w:t>之间未发生转化</w:t>
      </w:r>
      <w:r>
        <w:rPr>
          <w:rFonts w:hint="eastAsia" w:ascii="Times New Roman" w:hAnsi="Times New Roman"/>
          <w:snapToGrid w:val="0"/>
          <w:spacing w:val="-6"/>
        </w:rPr>
        <w:t>，</w:t>
      </w:r>
      <w:r>
        <w:rPr>
          <w:rFonts w:ascii="Times New Roman" w:hAnsi="Times New Roman"/>
          <w:snapToGrid w:val="0"/>
          <w:spacing w:val="-6"/>
        </w:rPr>
        <w:t>各</w:t>
      </w:r>
      <w:bookmarkStart w:id="51" w:name="_Hlk39156241"/>
      <w:r>
        <w:rPr>
          <w:rFonts w:hint="eastAsia" w:ascii="Times New Roman" w:hAnsi="Times New Roman"/>
          <w:snapToGrid w:val="0"/>
          <w:spacing w:val="-6"/>
        </w:rPr>
        <w:t>种类</w:t>
      </w:r>
      <w:bookmarkEnd w:id="51"/>
      <w:r>
        <w:rPr>
          <w:rFonts w:ascii="Times New Roman" w:hAnsi="Times New Roman"/>
          <w:snapToGrid w:val="0"/>
          <w:spacing w:val="-6"/>
        </w:rPr>
        <w:t>的鉴定特征未发生变化，不完善程度也未发生变化，即标准样品各</w:t>
      </w:r>
      <w:r>
        <w:rPr>
          <w:rFonts w:hint="eastAsia" w:ascii="Times New Roman" w:hAnsi="Times New Roman"/>
          <w:snapToGrid w:val="0"/>
          <w:spacing w:val="-6"/>
        </w:rPr>
        <w:t>种类</w:t>
      </w:r>
      <w:r>
        <w:rPr>
          <w:rFonts w:ascii="Times New Roman" w:hAnsi="Times New Roman"/>
          <w:snapToGrid w:val="0"/>
          <w:spacing w:val="-6"/>
        </w:rPr>
        <w:t>的种类和数量未发生变化；极端条件-20</w:t>
      </w:r>
      <w:r>
        <w:rPr>
          <w:rFonts w:hint="eastAsia" w:ascii="Times New Roman" w:hAnsi="Times New Roman"/>
          <w:snapToGrid w:val="0"/>
          <w:spacing w:val="-6"/>
        </w:rPr>
        <w:t>℃</w:t>
      </w:r>
      <w:r>
        <w:rPr>
          <w:rFonts w:ascii="Times New Roman" w:hAnsi="Times New Roman"/>
          <w:snapToGrid w:val="0"/>
          <w:spacing w:val="-6"/>
        </w:rPr>
        <w:t>下树脂未发生碎裂，45</w:t>
      </w:r>
      <w:r>
        <w:rPr>
          <w:rFonts w:hint="eastAsia" w:ascii="Times New Roman" w:hAnsi="Times New Roman"/>
          <w:snapToGrid w:val="0"/>
          <w:spacing w:val="-6"/>
        </w:rPr>
        <w:t>℃</w:t>
      </w:r>
      <w:r>
        <w:rPr>
          <w:rFonts w:ascii="Times New Roman" w:hAnsi="Times New Roman"/>
          <w:snapToGrid w:val="0"/>
          <w:spacing w:val="-6"/>
        </w:rPr>
        <w:t>条件下树脂也未发生软化，树脂内各不完善粒的鉴定特征均未发生变化，不影响结果鉴定。同样，在4</w:t>
      </w:r>
      <w:r>
        <w:rPr>
          <w:rFonts w:hint="eastAsia" w:ascii="Times New Roman" w:hAnsi="Times New Roman"/>
          <w:snapToGrid w:val="0"/>
          <w:spacing w:val="-6"/>
        </w:rPr>
        <w:t>℃</w:t>
      </w:r>
      <w:r>
        <w:rPr>
          <w:rFonts w:ascii="Times New Roman" w:hAnsi="Times New Roman"/>
          <w:snapToGrid w:val="0"/>
          <w:spacing w:val="-6"/>
        </w:rPr>
        <w:t>、25</w:t>
      </w:r>
      <w:r>
        <w:rPr>
          <w:rFonts w:hint="eastAsia" w:ascii="Times New Roman" w:hAnsi="Times New Roman"/>
          <w:snapToGrid w:val="0"/>
          <w:spacing w:val="-6"/>
        </w:rPr>
        <w:t>℃</w:t>
      </w:r>
      <w:r>
        <w:rPr>
          <w:rFonts w:ascii="Times New Roman" w:hAnsi="Times New Roman"/>
          <w:snapToGrid w:val="0"/>
          <w:spacing w:val="-6"/>
        </w:rPr>
        <w:t>、37</w:t>
      </w:r>
      <w:r>
        <w:rPr>
          <w:rFonts w:hint="eastAsia" w:ascii="Times New Roman" w:hAnsi="Times New Roman"/>
          <w:snapToGrid w:val="0"/>
          <w:spacing w:val="-6"/>
        </w:rPr>
        <w:t>℃</w:t>
      </w:r>
      <w:r>
        <w:rPr>
          <w:rFonts w:ascii="Times New Roman" w:hAnsi="Times New Roman"/>
          <w:snapToGrid w:val="0"/>
          <w:spacing w:val="-6"/>
        </w:rPr>
        <w:t>条件下放置时，树脂及树脂内的不完善粒也均未发生变化。</w:t>
      </w:r>
    </w:p>
    <w:bookmarkEnd w:id="49"/>
    <w:p w14:paraId="076EB693">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6</w:t>
      </w:r>
      <w:r>
        <w:rPr>
          <w:rFonts w:ascii="Times New Roman" w:hAnsi="Times New Roman" w:eastAsia="黑体"/>
          <w:spacing w:val="-6"/>
        </w:rPr>
        <w:t>.2 长期稳定性</w:t>
      </w:r>
    </w:p>
    <w:p w14:paraId="3D5EE804">
      <w:pPr>
        <w:spacing w:line="360" w:lineRule="auto"/>
        <w:ind w:firstLine="396" w:firstLineChars="200"/>
        <w:rPr>
          <w:rFonts w:ascii="Times New Roman" w:hAnsi="Times New Roman"/>
          <w:snapToGrid w:val="0"/>
          <w:spacing w:val="-6"/>
        </w:rPr>
      </w:pPr>
      <w:r>
        <w:rPr>
          <w:rFonts w:ascii="Times New Roman" w:hAnsi="Times New Roman"/>
          <w:snapToGrid w:val="0"/>
          <w:spacing w:val="-6"/>
        </w:rPr>
        <w:t>随机选取10套小麦不完善粒标准样品置于常温且避免太阳直射的条件下保存，测试时间为1、2、4、6、12、18个月，</w:t>
      </w:r>
      <w:r>
        <w:rPr>
          <w:rFonts w:hint="eastAsia" w:ascii="Times New Roman" w:hAnsi="Times New Roman"/>
          <w:snapToGrid w:val="0"/>
          <w:spacing w:val="-6"/>
        </w:rPr>
        <w:t>观察每套标准样品中每一种类中的10个籽粒有几粒符合GB 1351中的描述：1）虫蚀粒（injured kernel）：被虫蛀蚀，伤及胚或胚乳的颗粒；2）病斑粒（spotted kernel）：粒面带有病斑，伤及胚或胚乳的颗粒。包含①黑胚粒（black germ kernel）：籽粒胚部呈深褐色或黑色，伤及胚或胚乳的颗粒。②赤霉病粒（gibberella damaged kernel）：籽粒皱缩，呆白，有的粒面呈紫色，或有明显的粉红色霉状物，间有黑色子囊壳；3）破损粒(broken kernel)：压扁、破碎，伤及胚或胚乳的颗粒；4）生芽粒（sprouted kernel）：芽或幼根虽未突破种皮但胚部种皮已破裂或明显隆起且与胚分离的颗粒，或芽或幼根突破种皮不超过本颗粒长度的颗粒；5）生霉粒（moldy kernel）：粒面生霉的颗粒。</w:t>
      </w:r>
      <w:bookmarkStart w:id="52" w:name="_Hlk39840923"/>
      <w:r>
        <w:rPr>
          <w:rFonts w:hint="eastAsia" w:ascii="Times New Roman" w:hAnsi="Times New Roman"/>
          <w:snapToGrid w:val="0"/>
          <w:spacing w:val="-6"/>
        </w:rPr>
        <w:t>同时观察标准样品</w:t>
      </w:r>
      <w:r>
        <w:rPr>
          <w:rFonts w:ascii="Times New Roman" w:hAnsi="Times New Roman"/>
          <w:snapToGrid w:val="0"/>
          <w:spacing w:val="-6"/>
        </w:rPr>
        <w:t>各</w:t>
      </w:r>
      <w:r>
        <w:rPr>
          <w:rFonts w:hint="eastAsia" w:ascii="Times New Roman" w:hAnsi="Times New Roman"/>
          <w:snapToGrid w:val="0"/>
          <w:spacing w:val="-6"/>
        </w:rPr>
        <w:t>种类</w:t>
      </w:r>
      <w:r>
        <w:rPr>
          <w:rFonts w:ascii="Times New Roman" w:hAnsi="Times New Roman"/>
          <w:snapToGrid w:val="0"/>
          <w:spacing w:val="-6"/>
        </w:rPr>
        <w:t>的</w:t>
      </w:r>
      <w:r>
        <w:rPr>
          <w:rFonts w:hint="eastAsia" w:ascii="Times New Roman" w:hAnsi="Times New Roman"/>
          <w:snapToGrid w:val="0"/>
          <w:spacing w:val="-6"/>
        </w:rPr>
        <w:t>1</w:t>
      </w:r>
      <w:r>
        <w:rPr>
          <w:rFonts w:ascii="Times New Roman" w:hAnsi="Times New Roman"/>
          <w:snapToGrid w:val="0"/>
          <w:spacing w:val="-6"/>
        </w:rPr>
        <w:t>0</w:t>
      </w:r>
      <w:r>
        <w:rPr>
          <w:rFonts w:hint="eastAsia" w:ascii="Times New Roman" w:hAnsi="Times New Roman"/>
          <w:snapToGrid w:val="0"/>
          <w:spacing w:val="-6"/>
        </w:rPr>
        <w:t>个籽粒中有几粒的</w:t>
      </w:r>
      <w:r>
        <w:rPr>
          <w:rFonts w:ascii="Times New Roman" w:hAnsi="Times New Roman"/>
          <w:snapToGrid w:val="0"/>
          <w:spacing w:val="-6"/>
        </w:rPr>
        <w:t>鉴定特征发生变化（各</w:t>
      </w:r>
      <w:r>
        <w:rPr>
          <w:rFonts w:hint="eastAsia" w:ascii="Times New Roman" w:hAnsi="Times New Roman"/>
          <w:snapToGrid w:val="0"/>
          <w:spacing w:val="-6"/>
        </w:rPr>
        <w:t>种类</w:t>
      </w:r>
      <w:r>
        <w:rPr>
          <w:rFonts w:ascii="Times New Roman" w:hAnsi="Times New Roman"/>
          <w:snapToGrid w:val="0"/>
          <w:spacing w:val="-6"/>
        </w:rPr>
        <w:t>之间是否发生转化，如生芽粒遭虫蚀，出现虫蚀粒的鉴定特征；籽粒不完善程度是否减轻、加重或消失）、发生的变化是否影响结果鉴定</w:t>
      </w:r>
      <w:r>
        <w:rPr>
          <w:rFonts w:hint="eastAsia" w:ascii="Times New Roman" w:hAnsi="Times New Roman"/>
          <w:snapToGrid w:val="0"/>
          <w:spacing w:val="-6"/>
        </w:rPr>
        <w:t>等</w:t>
      </w:r>
      <w:r>
        <w:rPr>
          <w:rFonts w:ascii="Times New Roman" w:hAnsi="Times New Roman"/>
          <w:snapToGrid w:val="0"/>
          <w:spacing w:val="-6"/>
        </w:rPr>
        <w:t>。</w:t>
      </w:r>
      <w:r>
        <w:rPr>
          <w:rFonts w:hint="eastAsia" w:ascii="Times New Roman" w:hAnsi="Times New Roman"/>
          <w:snapToGrid w:val="0"/>
          <w:spacing w:val="-6"/>
        </w:rPr>
        <w:t>1</w:t>
      </w:r>
      <w:r>
        <w:rPr>
          <w:rFonts w:ascii="Times New Roman" w:hAnsi="Times New Roman"/>
          <w:snapToGrid w:val="0"/>
          <w:spacing w:val="-6"/>
        </w:rPr>
        <w:t>0</w:t>
      </w:r>
      <w:r>
        <w:rPr>
          <w:rFonts w:hint="eastAsia" w:ascii="Times New Roman" w:hAnsi="Times New Roman"/>
          <w:snapToGrid w:val="0"/>
          <w:spacing w:val="-6"/>
        </w:rPr>
        <w:t>个籽粒中有几粒符合标准的描述、未</w:t>
      </w:r>
      <w:r>
        <w:rPr>
          <w:rFonts w:ascii="Times New Roman" w:hAnsi="Times New Roman"/>
          <w:snapToGrid w:val="0"/>
          <w:spacing w:val="-6"/>
        </w:rPr>
        <w:t>发生</w:t>
      </w:r>
      <w:r>
        <w:rPr>
          <w:rFonts w:hint="eastAsia" w:ascii="Times New Roman" w:hAnsi="Times New Roman"/>
          <w:snapToGrid w:val="0"/>
          <w:spacing w:val="-6"/>
        </w:rPr>
        <w:t>不完善粒种类</w:t>
      </w:r>
      <w:r>
        <w:rPr>
          <w:rFonts w:ascii="Times New Roman" w:hAnsi="Times New Roman"/>
          <w:snapToGrid w:val="0"/>
          <w:spacing w:val="-6"/>
        </w:rPr>
        <w:t>转化</w:t>
      </w:r>
      <w:r>
        <w:rPr>
          <w:rFonts w:hint="eastAsia" w:ascii="Times New Roman" w:hAnsi="Times New Roman"/>
          <w:snapToGrid w:val="0"/>
          <w:spacing w:val="-6"/>
        </w:rPr>
        <w:t>、</w:t>
      </w:r>
      <w:r>
        <w:rPr>
          <w:rFonts w:ascii="Times New Roman" w:hAnsi="Times New Roman"/>
          <w:snapToGrid w:val="0"/>
          <w:spacing w:val="-6"/>
        </w:rPr>
        <w:t>籽粒不完善程度</w:t>
      </w:r>
      <w:r>
        <w:rPr>
          <w:rFonts w:hint="eastAsia" w:ascii="Times New Roman" w:hAnsi="Times New Roman"/>
          <w:snapToGrid w:val="0"/>
          <w:spacing w:val="-6"/>
        </w:rPr>
        <w:t>未发生</w:t>
      </w:r>
      <w:r>
        <w:rPr>
          <w:rFonts w:ascii="Times New Roman" w:hAnsi="Times New Roman"/>
          <w:snapToGrid w:val="0"/>
          <w:spacing w:val="-6"/>
        </w:rPr>
        <w:t>减轻、加重或消失</w:t>
      </w:r>
      <w:r>
        <w:rPr>
          <w:rFonts w:hint="eastAsia" w:ascii="Times New Roman" w:hAnsi="Times New Roman"/>
          <w:snapToGrid w:val="0"/>
          <w:spacing w:val="-6"/>
        </w:rPr>
        <w:t>，则该保存条件下该类不完善粒的稳定性检验结果为几粒。</w:t>
      </w:r>
      <w:r>
        <w:rPr>
          <w:rFonts w:ascii="Times New Roman" w:hAnsi="Times New Roman"/>
          <w:snapToGrid w:val="0"/>
          <w:spacing w:val="-6"/>
        </w:rPr>
        <w:t>详细</w:t>
      </w:r>
      <w:r>
        <w:rPr>
          <w:rFonts w:hint="eastAsia" w:ascii="Times New Roman" w:hAnsi="Times New Roman"/>
          <w:snapToGrid w:val="0"/>
          <w:spacing w:val="-6"/>
        </w:rPr>
        <w:t>检验结果见表21-2</w:t>
      </w:r>
      <w:r>
        <w:rPr>
          <w:rFonts w:ascii="Times New Roman" w:hAnsi="Times New Roman"/>
          <w:snapToGrid w:val="0"/>
          <w:spacing w:val="-6"/>
        </w:rPr>
        <w:t>6</w:t>
      </w:r>
      <w:r>
        <w:rPr>
          <w:rFonts w:hint="eastAsia" w:ascii="Times New Roman" w:hAnsi="Times New Roman"/>
          <w:snapToGrid w:val="0"/>
          <w:spacing w:val="-6"/>
        </w:rPr>
        <w:t>。</w:t>
      </w:r>
      <w:bookmarkEnd w:id="52"/>
    </w:p>
    <w:p w14:paraId="7CF7A748">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21 小麦不完善粒标准样品在常温下放置1个月的稳定性检验结果</w:t>
      </w:r>
    </w:p>
    <w:tbl>
      <w:tblPr>
        <w:tblStyle w:val="28"/>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1568"/>
        <w:gridCol w:w="1568"/>
        <w:gridCol w:w="1568"/>
        <w:gridCol w:w="1568"/>
        <w:gridCol w:w="1572"/>
      </w:tblGrid>
      <w:tr w14:paraId="349B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43D9807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68" w:type="dxa"/>
            <w:vAlign w:val="center"/>
          </w:tcPr>
          <w:p w14:paraId="0A21890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68" w:type="dxa"/>
            <w:vAlign w:val="center"/>
          </w:tcPr>
          <w:p w14:paraId="4392B5C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68" w:type="dxa"/>
            <w:vAlign w:val="center"/>
          </w:tcPr>
          <w:p w14:paraId="6E552E4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68" w:type="dxa"/>
            <w:vAlign w:val="center"/>
          </w:tcPr>
          <w:p w14:paraId="54DDF59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72" w:type="dxa"/>
            <w:vAlign w:val="center"/>
          </w:tcPr>
          <w:p w14:paraId="6224B0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1E21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5022EAB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68" w:type="dxa"/>
            <w:vAlign w:val="center"/>
          </w:tcPr>
          <w:p w14:paraId="6693BA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4C5E5E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5B6602F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738C399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658AEFE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FDD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0BDB633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68" w:type="dxa"/>
            <w:vAlign w:val="center"/>
          </w:tcPr>
          <w:p w14:paraId="7A78D2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0823C2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5EE933D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33759CD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420DA0C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A06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0C570E0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68" w:type="dxa"/>
            <w:vAlign w:val="center"/>
          </w:tcPr>
          <w:p w14:paraId="02C19D9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58C7D0D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04A4D02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41D1800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1D29073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CAC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07B8F8A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68" w:type="dxa"/>
            <w:vAlign w:val="center"/>
          </w:tcPr>
          <w:p w14:paraId="5E28EA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62A5E41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112BCA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580663A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0829F51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652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1D6D1E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68" w:type="dxa"/>
            <w:vAlign w:val="center"/>
          </w:tcPr>
          <w:p w14:paraId="7E41C13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3B9EDC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58812C8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6E96F0B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2F9C9D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D4B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3A00CD8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68" w:type="dxa"/>
            <w:vAlign w:val="center"/>
          </w:tcPr>
          <w:p w14:paraId="4BDA5A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12C687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655B330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76C23A2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143E18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ECE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3AE6088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68" w:type="dxa"/>
            <w:vAlign w:val="center"/>
          </w:tcPr>
          <w:p w14:paraId="25E2AF1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0462C83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5CA8945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4A4EBE3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49E344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00B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4487499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68" w:type="dxa"/>
            <w:vAlign w:val="center"/>
          </w:tcPr>
          <w:p w14:paraId="151FF5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060A19C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4C8C61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4087522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2266E2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B2E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2D8ADA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68" w:type="dxa"/>
            <w:vAlign w:val="center"/>
          </w:tcPr>
          <w:p w14:paraId="42EC482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7D998F4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0719B7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00A3C8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263DC80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C18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8" w:type="dxa"/>
            <w:vAlign w:val="center"/>
          </w:tcPr>
          <w:p w14:paraId="34E9D33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68" w:type="dxa"/>
            <w:vAlign w:val="center"/>
          </w:tcPr>
          <w:p w14:paraId="0959BB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527E6BA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56F5CF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8" w:type="dxa"/>
            <w:vAlign w:val="center"/>
          </w:tcPr>
          <w:p w14:paraId="2F35E9C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2" w:type="dxa"/>
            <w:vAlign w:val="center"/>
          </w:tcPr>
          <w:p w14:paraId="4256196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5B3A9BEA">
      <w:pPr>
        <w:spacing w:before="156" w:beforeLines="50" w:line="360" w:lineRule="auto"/>
        <w:ind w:firstLine="420"/>
        <w:jc w:val="center"/>
        <w:rPr>
          <w:rFonts w:ascii="Times New Roman" w:hAnsi="Times New Roman" w:eastAsia="黑体"/>
          <w:spacing w:val="-6"/>
        </w:rPr>
      </w:pPr>
      <w:r>
        <w:rPr>
          <w:rFonts w:ascii="Times New Roman" w:hAnsi="Times New Roman" w:eastAsia="黑体"/>
          <w:spacing w:val="-6"/>
        </w:rPr>
        <w:t>表</w:t>
      </w:r>
      <w:r>
        <w:rPr>
          <w:rFonts w:hint="eastAsia" w:ascii="Times New Roman" w:hAnsi="Times New Roman" w:eastAsia="黑体"/>
          <w:spacing w:val="-6"/>
        </w:rPr>
        <w:t>C.</w:t>
      </w:r>
      <w:r>
        <w:rPr>
          <w:rFonts w:ascii="Times New Roman" w:hAnsi="Times New Roman" w:eastAsia="黑体"/>
          <w:spacing w:val="-6"/>
        </w:rPr>
        <w:t>22 小麦不完善粒标准样品在常温下放置2个月的稳定性检验结果</w:t>
      </w:r>
    </w:p>
    <w:tbl>
      <w:tblPr>
        <w:tblStyle w:val="28"/>
        <w:tblW w:w="9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571"/>
        <w:gridCol w:w="1571"/>
        <w:gridCol w:w="1571"/>
        <w:gridCol w:w="1571"/>
        <w:gridCol w:w="1573"/>
      </w:tblGrid>
      <w:tr w14:paraId="5B3D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727C4A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71" w:type="dxa"/>
            <w:vAlign w:val="center"/>
          </w:tcPr>
          <w:p w14:paraId="25422EC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71" w:type="dxa"/>
            <w:vAlign w:val="center"/>
          </w:tcPr>
          <w:p w14:paraId="770A00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71" w:type="dxa"/>
            <w:vAlign w:val="center"/>
          </w:tcPr>
          <w:p w14:paraId="55D471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71" w:type="dxa"/>
            <w:vAlign w:val="center"/>
          </w:tcPr>
          <w:p w14:paraId="52209BE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73" w:type="dxa"/>
            <w:vAlign w:val="center"/>
          </w:tcPr>
          <w:p w14:paraId="480AA3D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6A33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5FAB788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71" w:type="dxa"/>
            <w:vAlign w:val="center"/>
          </w:tcPr>
          <w:p w14:paraId="503C33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309A42F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908AF8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D4218F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7BC5B16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563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516FA07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71" w:type="dxa"/>
            <w:vAlign w:val="center"/>
          </w:tcPr>
          <w:p w14:paraId="426CB74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5FBFC66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5B2C472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CB33B5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12F7BEE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6E5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2124FFA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71" w:type="dxa"/>
            <w:vAlign w:val="center"/>
          </w:tcPr>
          <w:p w14:paraId="2371089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262FE3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6ABF65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BAFC54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312F19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188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5728924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71" w:type="dxa"/>
            <w:vAlign w:val="center"/>
          </w:tcPr>
          <w:p w14:paraId="4A7FBC9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17242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375AB15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D536C4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746D55F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4E1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0213C47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71" w:type="dxa"/>
            <w:vAlign w:val="center"/>
          </w:tcPr>
          <w:p w14:paraId="4B65BE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193A213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6618456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C2BF3E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4D39FE6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E7A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1A561EC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71" w:type="dxa"/>
            <w:vAlign w:val="center"/>
          </w:tcPr>
          <w:p w14:paraId="74E7066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5DED053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68EDF5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0BF23BF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66F3B5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D00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1D4AE4E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71" w:type="dxa"/>
            <w:vAlign w:val="center"/>
          </w:tcPr>
          <w:p w14:paraId="5D3B258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11AFF0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3B5E98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34CDFA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5D017C0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845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2CBE6FA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71" w:type="dxa"/>
            <w:vAlign w:val="center"/>
          </w:tcPr>
          <w:p w14:paraId="20CDA5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0C4B095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35B2E3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ACD2C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1C28E7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56D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3C810AC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71" w:type="dxa"/>
            <w:vAlign w:val="center"/>
          </w:tcPr>
          <w:p w14:paraId="3D87750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10A11C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0FDEAC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6C98EB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418F66F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940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1" w:type="dxa"/>
            <w:vAlign w:val="center"/>
          </w:tcPr>
          <w:p w14:paraId="544699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71" w:type="dxa"/>
            <w:vAlign w:val="center"/>
          </w:tcPr>
          <w:p w14:paraId="337A7B1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7CD019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5666E4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46294D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14F5801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28378F94">
      <w:pPr>
        <w:spacing w:before="156" w:beforeLines="50" w:line="360" w:lineRule="auto"/>
        <w:ind w:firstLine="420"/>
        <w:jc w:val="center"/>
        <w:rPr>
          <w:rFonts w:ascii="Times New Roman" w:hAnsi="Times New Roman" w:eastAsia="黑体"/>
          <w:spacing w:val="-6"/>
        </w:rPr>
      </w:pPr>
    </w:p>
    <w:p w14:paraId="768BF5CE">
      <w:pPr>
        <w:spacing w:before="156" w:beforeLines="50" w:line="360" w:lineRule="auto"/>
        <w:ind w:firstLine="420"/>
        <w:jc w:val="center"/>
        <w:rPr>
          <w:rFonts w:ascii="Times New Roman" w:hAnsi="Times New Roman" w:eastAsia="黑体"/>
          <w:spacing w:val="-6"/>
        </w:rPr>
      </w:pPr>
      <w:r>
        <w:rPr>
          <w:rFonts w:hint="eastAsia" w:ascii="Times New Roman" w:hAnsi="Times New Roman" w:eastAsia="黑体"/>
          <w:spacing w:val="-6"/>
        </w:rPr>
        <w:t>表C.23 小麦不完善粒标准样品在常温下放置4个月的稳定性检验结果</w:t>
      </w:r>
    </w:p>
    <w:tbl>
      <w:tblPr>
        <w:tblStyle w:val="28"/>
        <w:tblW w:w="9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4"/>
        <w:gridCol w:w="1564"/>
        <w:gridCol w:w="1564"/>
        <w:gridCol w:w="1564"/>
        <w:gridCol w:w="1564"/>
        <w:gridCol w:w="1564"/>
      </w:tblGrid>
      <w:tr w14:paraId="3B7C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7261E64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64" w:type="dxa"/>
            <w:vAlign w:val="center"/>
          </w:tcPr>
          <w:p w14:paraId="30CB46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64" w:type="dxa"/>
            <w:vAlign w:val="center"/>
          </w:tcPr>
          <w:p w14:paraId="0164EB7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64" w:type="dxa"/>
            <w:vAlign w:val="center"/>
          </w:tcPr>
          <w:p w14:paraId="17AA20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64" w:type="dxa"/>
            <w:vAlign w:val="center"/>
          </w:tcPr>
          <w:p w14:paraId="74A51AC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64" w:type="dxa"/>
            <w:vAlign w:val="center"/>
          </w:tcPr>
          <w:p w14:paraId="7D0171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6AC8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42F9664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64" w:type="dxa"/>
            <w:vAlign w:val="center"/>
          </w:tcPr>
          <w:p w14:paraId="74D5E1D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4C4722A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6009E14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7614FF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1E8837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67D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223AF41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64" w:type="dxa"/>
            <w:vAlign w:val="center"/>
          </w:tcPr>
          <w:p w14:paraId="4AB2C7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478E46B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383B620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592D4D7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3A017F4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5BE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0403C87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64" w:type="dxa"/>
            <w:vAlign w:val="center"/>
          </w:tcPr>
          <w:p w14:paraId="202F25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4BC41AA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3D3F989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4BCCBDF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08A10EB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EA7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11EB92D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64" w:type="dxa"/>
            <w:vAlign w:val="center"/>
          </w:tcPr>
          <w:p w14:paraId="156D2CE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185F875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23D8A32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48F8A5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05E49EA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AD3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6F3B05C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64" w:type="dxa"/>
            <w:vAlign w:val="center"/>
          </w:tcPr>
          <w:p w14:paraId="4659CEE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7E62661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1FF2ED0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457BDE6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3C105D2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4DE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7BB9EF4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64" w:type="dxa"/>
            <w:vAlign w:val="center"/>
          </w:tcPr>
          <w:p w14:paraId="271E115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478C5BF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6EB134B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1F40922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0B346A4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7AE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1684C22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64" w:type="dxa"/>
            <w:vAlign w:val="center"/>
          </w:tcPr>
          <w:p w14:paraId="7E182F5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00DD4E7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4518CD4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6387FBA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72CE195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015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2517E3B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64" w:type="dxa"/>
            <w:vAlign w:val="center"/>
          </w:tcPr>
          <w:p w14:paraId="2087039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76A0E50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1580554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775557B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201210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E76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7F2EC6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64" w:type="dxa"/>
            <w:vAlign w:val="center"/>
          </w:tcPr>
          <w:p w14:paraId="4082016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567DA6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2D5E49D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1544CB3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0B343F8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8AD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4" w:type="dxa"/>
            <w:vAlign w:val="center"/>
          </w:tcPr>
          <w:p w14:paraId="504320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64" w:type="dxa"/>
            <w:vAlign w:val="center"/>
          </w:tcPr>
          <w:p w14:paraId="3A42F4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35A95FE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3DD0351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7791CB4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4" w:type="dxa"/>
            <w:vAlign w:val="center"/>
          </w:tcPr>
          <w:p w14:paraId="2F317DA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48ACA58A">
      <w:pPr>
        <w:spacing w:before="156" w:beforeLines="50" w:line="360" w:lineRule="auto"/>
        <w:ind w:firstLine="420"/>
        <w:jc w:val="center"/>
        <w:rPr>
          <w:rFonts w:ascii="Times New Roman" w:hAnsi="Times New Roman" w:eastAsia="黑体"/>
          <w:spacing w:val="-6"/>
        </w:rPr>
      </w:pPr>
      <w:r>
        <w:rPr>
          <w:rFonts w:hint="eastAsia" w:ascii="Times New Roman" w:hAnsi="Times New Roman" w:eastAsia="黑体"/>
          <w:spacing w:val="-6"/>
        </w:rPr>
        <w:t>表C.24 小麦不完善粒标准样品在常温下放置6个月的稳定性检验结果</w:t>
      </w:r>
    </w:p>
    <w:tbl>
      <w:tblPr>
        <w:tblStyle w:val="28"/>
        <w:tblW w:w="9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7"/>
        <w:gridCol w:w="1567"/>
        <w:gridCol w:w="1567"/>
        <w:gridCol w:w="1567"/>
        <w:gridCol w:w="1567"/>
        <w:gridCol w:w="1567"/>
      </w:tblGrid>
      <w:tr w14:paraId="2DB0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2257894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67" w:type="dxa"/>
            <w:vAlign w:val="center"/>
          </w:tcPr>
          <w:p w14:paraId="133B5D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67" w:type="dxa"/>
            <w:vAlign w:val="center"/>
          </w:tcPr>
          <w:p w14:paraId="678F898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67" w:type="dxa"/>
            <w:vAlign w:val="center"/>
          </w:tcPr>
          <w:p w14:paraId="089C6CA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67" w:type="dxa"/>
            <w:vAlign w:val="center"/>
          </w:tcPr>
          <w:p w14:paraId="7401A76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67" w:type="dxa"/>
            <w:vAlign w:val="center"/>
          </w:tcPr>
          <w:p w14:paraId="7E80C92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42D5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724B32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67" w:type="dxa"/>
            <w:vAlign w:val="center"/>
          </w:tcPr>
          <w:p w14:paraId="49CF80D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88DC7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23C1F4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787A4A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9C482A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8C2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1C122E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67" w:type="dxa"/>
            <w:vAlign w:val="center"/>
          </w:tcPr>
          <w:p w14:paraId="0086487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A96BB9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3A6AE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6C87F1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64C50C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52A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4F360CC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67" w:type="dxa"/>
            <w:vAlign w:val="center"/>
          </w:tcPr>
          <w:p w14:paraId="6794BB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FEC163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F1C4D5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6BCEC5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7669D55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BEA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54D235A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67" w:type="dxa"/>
            <w:vAlign w:val="center"/>
          </w:tcPr>
          <w:p w14:paraId="1F61488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7228E68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62056F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1B5AC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71B806D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36F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2BE69E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67" w:type="dxa"/>
            <w:vAlign w:val="center"/>
          </w:tcPr>
          <w:p w14:paraId="496A869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6BB238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44FD5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5B8C49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C59FDF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051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51F55C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67" w:type="dxa"/>
            <w:vAlign w:val="center"/>
          </w:tcPr>
          <w:p w14:paraId="4CECA6C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DC5F48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E43DF8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CE20B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76D6FA6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9F0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38DC1C1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67" w:type="dxa"/>
            <w:vAlign w:val="center"/>
          </w:tcPr>
          <w:p w14:paraId="6F2EBA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6EB015A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743B13A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196E279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1F0B22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0BD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13C5BEF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67" w:type="dxa"/>
            <w:vAlign w:val="center"/>
          </w:tcPr>
          <w:p w14:paraId="243C55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99BE5A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CC616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663B0D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79843A4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12F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504ECBC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67" w:type="dxa"/>
            <w:vAlign w:val="center"/>
          </w:tcPr>
          <w:p w14:paraId="79EDAD8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E27BC8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578A4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03EDBA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467CEA2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1D4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7" w:type="dxa"/>
            <w:vAlign w:val="center"/>
          </w:tcPr>
          <w:p w14:paraId="4409CE9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67" w:type="dxa"/>
            <w:vAlign w:val="center"/>
          </w:tcPr>
          <w:p w14:paraId="4746503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6F80290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22B272E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32EE79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67" w:type="dxa"/>
            <w:vAlign w:val="center"/>
          </w:tcPr>
          <w:p w14:paraId="01AAD5B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23F7D955">
      <w:pPr>
        <w:spacing w:before="156" w:beforeLines="50" w:line="360" w:lineRule="auto"/>
        <w:ind w:firstLine="420"/>
        <w:jc w:val="center"/>
        <w:rPr>
          <w:rFonts w:ascii="Times New Roman" w:hAnsi="Times New Roman" w:eastAsia="黑体"/>
          <w:spacing w:val="-6"/>
        </w:rPr>
      </w:pPr>
      <w:r>
        <w:rPr>
          <w:rFonts w:hint="eastAsia" w:ascii="Times New Roman" w:hAnsi="Times New Roman" w:eastAsia="黑体"/>
          <w:spacing w:val="-6"/>
        </w:rPr>
        <w:t>表25 小麦不完善粒标准样品在常温下放置12个月的稳定性检验结果</w:t>
      </w:r>
    </w:p>
    <w:tbl>
      <w:tblPr>
        <w:tblStyle w:val="28"/>
        <w:tblW w:w="9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571"/>
        <w:gridCol w:w="1571"/>
        <w:gridCol w:w="1571"/>
        <w:gridCol w:w="1571"/>
        <w:gridCol w:w="1573"/>
      </w:tblGrid>
      <w:tr w14:paraId="169A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765953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71" w:type="dxa"/>
            <w:vAlign w:val="center"/>
          </w:tcPr>
          <w:p w14:paraId="5BF70C8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71" w:type="dxa"/>
            <w:vAlign w:val="center"/>
          </w:tcPr>
          <w:p w14:paraId="2FA7D91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71" w:type="dxa"/>
            <w:vAlign w:val="center"/>
          </w:tcPr>
          <w:p w14:paraId="553FA5C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71" w:type="dxa"/>
            <w:vAlign w:val="center"/>
          </w:tcPr>
          <w:p w14:paraId="05C801D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73" w:type="dxa"/>
            <w:vAlign w:val="center"/>
          </w:tcPr>
          <w:p w14:paraId="64FB453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73C9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5180EDC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71" w:type="dxa"/>
            <w:vAlign w:val="center"/>
          </w:tcPr>
          <w:p w14:paraId="5A2EF56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5688A7B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5397D02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021967D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23B1B71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3B3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1D6D630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71" w:type="dxa"/>
            <w:vAlign w:val="center"/>
          </w:tcPr>
          <w:p w14:paraId="087D51F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ABE810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096956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92F9A0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223483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696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29EE37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71" w:type="dxa"/>
            <w:vAlign w:val="center"/>
          </w:tcPr>
          <w:p w14:paraId="32C6A0C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09136C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93571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2471B9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1CFA3A3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F65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299F344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71" w:type="dxa"/>
            <w:vAlign w:val="center"/>
          </w:tcPr>
          <w:p w14:paraId="5BA4E21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5F82F1A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3D7CCD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77D77AA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208953E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310B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03848A0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71" w:type="dxa"/>
            <w:vAlign w:val="center"/>
          </w:tcPr>
          <w:p w14:paraId="0EB0EC7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346C5F9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3C9C97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5E599E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2F2B73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767F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177A4FF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71" w:type="dxa"/>
            <w:vAlign w:val="center"/>
          </w:tcPr>
          <w:p w14:paraId="4A5B455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A812AA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384DF3A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18A17B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49BD19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711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1A92FB3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71" w:type="dxa"/>
            <w:vAlign w:val="center"/>
          </w:tcPr>
          <w:p w14:paraId="13BC06F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F64A62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4346C6E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0D49C0F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617BD7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A1D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14CB0F2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71" w:type="dxa"/>
            <w:vAlign w:val="center"/>
          </w:tcPr>
          <w:p w14:paraId="4D11482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B09B2B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2E1B142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5FE173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6721E36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7F7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6F9F4DE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71" w:type="dxa"/>
            <w:vAlign w:val="center"/>
          </w:tcPr>
          <w:p w14:paraId="4D7BA18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1AEFB9F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79BD117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6554D86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02FFBCB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401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1" w:type="dxa"/>
            <w:vAlign w:val="center"/>
          </w:tcPr>
          <w:p w14:paraId="61DA2CC3">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71" w:type="dxa"/>
            <w:vAlign w:val="center"/>
          </w:tcPr>
          <w:p w14:paraId="09F4116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734B763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31036D8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1" w:type="dxa"/>
            <w:vAlign w:val="center"/>
          </w:tcPr>
          <w:p w14:paraId="6B8EBC5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3" w:type="dxa"/>
            <w:vAlign w:val="center"/>
          </w:tcPr>
          <w:p w14:paraId="5DDD75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0B332D01">
      <w:pPr>
        <w:spacing w:before="156" w:beforeLines="50" w:line="360" w:lineRule="auto"/>
        <w:ind w:firstLine="420"/>
        <w:jc w:val="center"/>
        <w:rPr>
          <w:rFonts w:ascii="Times New Roman" w:hAnsi="Times New Roman" w:eastAsia="黑体"/>
          <w:spacing w:val="-6"/>
        </w:rPr>
      </w:pPr>
      <w:r>
        <w:rPr>
          <w:rFonts w:hint="eastAsia" w:ascii="Times New Roman" w:hAnsi="Times New Roman" w:eastAsia="黑体"/>
          <w:spacing w:val="-6"/>
        </w:rPr>
        <w:t>表C.26 小麦不完善粒标准样品在常温下放置18个月的稳定性检验结果</w:t>
      </w:r>
    </w:p>
    <w:tbl>
      <w:tblPr>
        <w:tblStyle w:val="28"/>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8"/>
        <w:gridCol w:w="1578"/>
        <w:gridCol w:w="1578"/>
        <w:gridCol w:w="1578"/>
        <w:gridCol w:w="1578"/>
        <w:gridCol w:w="1580"/>
      </w:tblGrid>
      <w:tr w14:paraId="0F5E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45523C4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样品号</w:t>
            </w:r>
          </w:p>
        </w:tc>
        <w:tc>
          <w:tcPr>
            <w:tcW w:w="1578" w:type="dxa"/>
            <w:vAlign w:val="center"/>
          </w:tcPr>
          <w:p w14:paraId="7EDF637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虫蚀粒</w:t>
            </w:r>
          </w:p>
        </w:tc>
        <w:tc>
          <w:tcPr>
            <w:tcW w:w="1578" w:type="dxa"/>
            <w:vAlign w:val="center"/>
          </w:tcPr>
          <w:p w14:paraId="5AF850E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病斑粒</w:t>
            </w:r>
          </w:p>
        </w:tc>
        <w:tc>
          <w:tcPr>
            <w:tcW w:w="1578" w:type="dxa"/>
            <w:vAlign w:val="center"/>
          </w:tcPr>
          <w:p w14:paraId="0344AB6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破损粒</w:t>
            </w:r>
          </w:p>
        </w:tc>
        <w:tc>
          <w:tcPr>
            <w:tcW w:w="1578" w:type="dxa"/>
            <w:vAlign w:val="center"/>
          </w:tcPr>
          <w:p w14:paraId="7C71319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生芽粒</w:t>
            </w:r>
          </w:p>
        </w:tc>
        <w:tc>
          <w:tcPr>
            <w:tcW w:w="1580" w:type="dxa"/>
            <w:vAlign w:val="center"/>
          </w:tcPr>
          <w:p w14:paraId="1D88422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生霉粒</w:t>
            </w:r>
          </w:p>
        </w:tc>
      </w:tr>
      <w:tr w14:paraId="7111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3DA91E0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w:t>
            </w:r>
          </w:p>
        </w:tc>
        <w:tc>
          <w:tcPr>
            <w:tcW w:w="1578" w:type="dxa"/>
            <w:vAlign w:val="center"/>
          </w:tcPr>
          <w:p w14:paraId="1BF17F8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1AB561F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3B7BFC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1E7F597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1698701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0303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5A3F7F5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2</w:t>
            </w:r>
          </w:p>
        </w:tc>
        <w:tc>
          <w:tcPr>
            <w:tcW w:w="1578" w:type="dxa"/>
            <w:vAlign w:val="center"/>
          </w:tcPr>
          <w:p w14:paraId="5105246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4D52E1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7F9C3AA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2782BCE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5D96F35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4420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2C33872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3</w:t>
            </w:r>
          </w:p>
        </w:tc>
        <w:tc>
          <w:tcPr>
            <w:tcW w:w="1578" w:type="dxa"/>
            <w:vAlign w:val="center"/>
          </w:tcPr>
          <w:p w14:paraId="4FD514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3C6D284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42AE20C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2D2D347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3A4354F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865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1EF2CD0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4</w:t>
            </w:r>
          </w:p>
        </w:tc>
        <w:tc>
          <w:tcPr>
            <w:tcW w:w="1578" w:type="dxa"/>
            <w:vAlign w:val="center"/>
          </w:tcPr>
          <w:p w14:paraId="63B0F7B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171BDD5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2307B68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79F294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6A40F0D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064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4B3FF2D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5</w:t>
            </w:r>
          </w:p>
        </w:tc>
        <w:tc>
          <w:tcPr>
            <w:tcW w:w="1578" w:type="dxa"/>
            <w:vAlign w:val="center"/>
          </w:tcPr>
          <w:p w14:paraId="6F537F1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71405C0A">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4D17EA09">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297A4598">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52CCA86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16B1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0AB711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6</w:t>
            </w:r>
          </w:p>
        </w:tc>
        <w:tc>
          <w:tcPr>
            <w:tcW w:w="1578" w:type="dxa"/>
            <w:vAlign w:val="center"/>
          </w:tcPr>
          <w:p w14:paraId="2C3103B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6F692F5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314A19F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02D2C7D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6B4A266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D68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20398BE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7</w:t>
            </w:r>
          </w:p>
        </w:tc>
        <w:tc>
          <w:tcPr>
            <w:tcW w:w="1578" w:type="dxa"/>
            <w:vAlign w:val="center"/>
          </w:tcPr>
          <w:p w14:paraId="5AB805D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60C5C1E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1DADAEB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2B14617F">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47ED15C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2362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6191909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8</w:t>
            </w:r>
          </w:p>
        </w:tc>
        <w:tc>
          <w:tcPr>
            <w:tcW w:w="1578" w:type="dxa"/>
            <w:vAlign w:val="center"/>
          </w:tcPr>
          <w:p w14:paraId="28659DB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5D5F742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31F7E8B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0EA87C12">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70AC771B">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58EC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0D1726BC">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9</w:t>
            </w:r>
          </w:p>
        </w:tc>
        <w:tc>
          <w:tcPr>
            <w:tcW w:w="1578" w:type="dxa"/>
            <w:vAlign w:val="center"/>
          </w:tcPr>
          <w:p w14:paraId="4C35A335">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40C308D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1536D8C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742623E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763B3851">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r w14:paraId="6DBE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78" w:type="dxa"/>
            <w:vAlign w:val="center"/>
          </w:tcPr>
          <w:p w14:paraId="7FB7CA9E">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w:t>
            </w:r>
          </w:p>
        </w:tc>
        <w:tc>
          <w:tcPr>
            <w:tcW w:w="1578" w:type="dxa"/>
            <w:vAlign w:val="center"/>
          </w:tcPr>
          <w:p w14:paraId="48E4FE24">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13F696E7">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7607DE00">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78" w:type="dxa"/>
            <w:vAlign w:val="center"/>
          </w:tcPr>
          <w:p w14:paraId="26DCAE26">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c>
          <w:tcPr>
            <w:tcW w:w="1580" w:type="dxa"/>
            <w:vAlign w:val="center"/>
          </w:tcPr>
          <w:p w14:paraId="7B119CED">
            <w:pPr>
              <w:widowControl/>
              <w:kinsoku w:val="0"/>
              <w:autoSpaceDE w:val="0"/>
              <w:autoSpaceDN w:val="0"/>
              <w:snapToGrid w:val="0"/>
              <w:spacing w:before="78" w:beforeLines="25" w:line="360" w:lineRule="auto"/>
              <w:jc w:val="center"/>
              <w:textAlignment w:val="baseline"/>
              <w:rPr>
                <w:rFonts w:ascii="Times New Roman" w:hAnsi="Times New Roman"/>
                <w:spacing w:val="-6"/>
              </w:rPr>
            </w:pPr>
            <w:r>
              <w:rPr>
                <w:rFonts w:ascii="Times New Roman" w:hAnsi="Times New Roman"/>
                <w:spacing w:val="-6"/>
              </w:rPr>
              <w:t>10粒</w:t>
            </w:r>
          </w:p>
        </w:tc>
      </w:tr>
    </w:tbl>
    <w:p w14:paraId="3310BA00">
      <w:pPr>
        <w:spacing w:line="360" w:lineRule="auto"/>
        <w:ind w:firstLine="396" w:firstLineChars="200"/>
        <w:rPr>
          <w:rFonts w:ascii="Times New Roman" w:hAnsi="Times New Roman"/>
          <w:snapToGrid w:val="0"/>
          <w:spacing w:val="-6"/>
        </w:rPr>
      </w:pPr>
      <w:r>
        <w:rPr>
          <w:rFonts w:ascii="Times New Roman" w:hAnsi="Times New Roman"/>
          <w:snapToGrid w:val="0"/>
          <w:spacing w:val="-6"/>
        </w:rPr>
        <w:t>种子的生物学外部形态特征不会随着时间的推移发生很大变化，而且是被镶嵌在树脂中，标准样品整体为实心的固体，内部无液体或气体空间，避免了氧化、发霉、变质、虫蚀及外部机械力量损伤而导致的形态变化，所以保存条件的变化对标准样品外部形态没有影响，标准样品的鉴定特征在很长时间内都是稳定的。同时，本项目使用的高透环氧树脂耐受的温度范围为-50</w:t>
      </w:r>
      <w:r>
        <w:rPr>
          <w:rFonts w:hint="eastAsia" w:ascii="Times New Roman" w:hAnsi="Times New Roman"/>
          <w:snapToGrid w:val="0"/>
          <w:spacing w:val="-6"/>
        </w:rPr>
        <w:t>℃</w:t>
      </w:r>
      <w:bookmarkStart w:id="53" w:name="_Hlk36642623"/>
      <w:r>
        <w:rPr>
          <w:rFonts w:ascii="Times New Roman" w:hAnsi="Times New Roman"/>
          <w:snapToGrid w:val="0"/>
          <w:spacing w:val="-6"/>
        </w:rPr>
        <w:t>～</w:t>
      </w:r>
      <w:bookmarkEnd w:id="53"/>
      <w:r>
        <w:rPr>
          <w:rFonts w:ascii="Times New Roman" w:hAnsi="Times New Roman"/>
          <w:snapToGrid w:val="0"/>
          <w:spacing w:val="-6"/>
        </w:rPr>
        <w:t>180</w:t>
      </w:r>
      <w:r>
        <w:rPr>
          <w:rFonts w:hint="eastAsia" w:ascii="Times New Roman" w:hAnsi="Times New Roman"/>
          <w:snapToGrid w:val="0"/>
          <w:spacing w:val="-6"/>
        </w:rPr>
        <w:t>℃</w:t>
      </w:r>
      <w:r>
        <w:rPr>
          <w:rFonts w:ascii="Times New Roman" w:hAnsi="Times New Roman"/>
          <w:snapToGrid w:val="0"/>
          <w:spacing w:val="-6"/>
        </w:rPr>
        <w:t>，满足标准样品运输和保存的温度范围。检验结果发现常温且避免太阳直射的条件下保存18个月后，</w:t>
      </w:r>
      <w:bookmarkStart w:id="54" w:name="_Hlk28876919"/>
      <w:r>
        <w:rPr>
          <w:rFonts w:ascii="Times New Roman" w:hAnsi="Times New Roman"/>
          <w:snapToGrid w:val="0"/>
          <w:spacing w:val="-6"/>
        </w:rPr>
        <w:t>小麦不完善粒</w:t>
      </w:r>
      <w:r>
        <w:rPr>
          <w:rFonts w:hint="eastAsia" w:ascii="Times New Roman" w:hAnsi="Times New Roman"/>
          <w:snapToGrid w:val="0"/>
          <w:spacing w:val="-6"/>
        </w:rPr>
        <w:t>标准样品</w:t>
      </w:r>
      <w:r>
        <w:rPr>
          <w:rFonts w:ascii="Times New Roman" w:hAnsi="Times New Roman"/>
          <w:snapToGrid w:val="0"/>
          <w:spacing w:val="-6"/>
        </w:rPr>
        <w:t>各</w:t>
      </w:r>
      <w:r>
        <w:rPr>
          <w:rFonts w:hint="eastAsia" w:ascii="Times New Roman" w:hAnsi="Times New Roman"/>
          <w:snapToGrid w:val="0"/>
          <w:spacing w:val="-6"/>
        </w:rPr>
        <w:t>种类</w:t>
      </w:r>
      <w:r>
        <w:rPr>
          <w:rFonts w:ascii="Times New Roman" w:hAnsi="Times New Roman"/>
          <w:snapToGrid w:val="0"/>
          <w:spacing w:val="-6"/>
        </w:rPr>
        <w:t>之间未发生转化</w:t>
      </w:r>
      <w:r>
        <w:rPr>
          <w:rFonts w:hint="eastAsia" w:ascii="Times New Roman" w:hAnsi="Times New Roman"/>
          <w:snapToGrid w:val="0"/>
          <w:spacing w:val="-6"/>
        </w:rPr>
        <w:t>，</w:t>
      </w:r>
      <w:r>
        <w:rPr>
          <w:rFonts w:ascii="Times New Roman" w:hAnsi="Times New Roman"/>
          <w:snapToGrid w:val="0"/>
          <w:spacing w:val="-6"/>
        </w:rPr>
        <w:t>各</w:t>
      </w:r>
      <w:r>
        <w:rPr>
          <w:rFonts w:hint="eastAsia" w:ascii="Times New Roman" w:hAnsi="Times New Roman"/>
          <w:snapToGrid w:val="0"/>
          <w:spacing w:val="-6"/>
        </w:rPr>
        <w:t>种类</w:t>
      </w:r>
      <w:r>
        <w:rPr>
          <w:rFonts w:ascii="Times New Roman" w:hAnsi="Times New Roman"/>
          <w:snapToGrid w:val="0"/>
          <w:spacing w:val="-6"/>
        </w:rPr>
        <w:t>的鉴定特征未发生变化，</w:t>
      </w:r>
      <w:bookmarkEnd w:id="54"/>
      <w:r>
        <w:rPr>
          <w:rFonts w:ascii="Times New Roman" w:hAnsi="Times New Roman"/>
          <w:snapToGrid w:val="0"/>
          <w:spacing w:val="-6"/>
        </w:rPr>
        <w:t>不完善程度也未发生变化。</w:t>
      </w:r>
    </w:p>
    <w:p w14:paraId="23BC688B">
      <w:pPr>
        <w:spacing w:line="360" w:lineRule="auto"/>
        <w:ind w:firstLine="396" w:firstLineChars="200"/>
        <w:rPr>
          <w:rFonts w:ascii="Times New Roman" w:hAnsi="Times New Roman"/>
          <w:snapToGrid w:val="0"/>
          <w:spacing w:val="-6"/>
        </w:rPr>
      </w:pPr>
      <w:r>
        <w:rPr>
          <w:rFonts w:ascii="Times New Roman" w:hAnsi="Times New Roman"/>
          <w:snapToGrid w:val="0"/>
          <w:spacing w:val="-6"/>
        </w:rPr>
        <w:t>辽宁省出入境检验检疫局和广东省出入境检验检疫局研制的大豆不完善粒标准样品（GSB 11-3405-2017）与本项目使用相同的研制方法，即采用有机树脂包埋技术将不完善粒塑封于树脂中，保存条件相同（常温，避免阳光直射），因此，参照大豆不完善粒的稳定期（10年），将本项目制作的小麦不完善粒标准样品的稳定期暂定为2年，后期研制单位将持续跟踪该标准样品的稳定性。</w:t>
      </w:r>
    </w:p>
    <w:p w14:paraId="0E036E79">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7</w:t>
      </w:r>
      <w:r>
        <w:rPr>
          <w:rFonts w:ascii="Times New Roman" w:hAnsi="Times New Roman" w:eastAsia="黑体"/>
          <w:spacing w:val="-6"/>
        </w:rPr>
        <w:t xml:space="preserve">  定值</w:t>
      </w:r>
    </w:p>
    <w:p w14:paraId="34B1C07F">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7</w:t>
      </w:r>
      <w:r>
        <w:rPr>
          <w:rFonts w:ascii="Times New Roman" w:hAnsi="Times New Roman" w:eastAsia="黑体"/>
          <w:spacing w:val="-6"/>
        </w:rPr>
        <w:t>.</w:t>
      </w:r>
      <w:r>
        <w:rPr>
          <w:rFonts w:hint="eastAsia" w:ascii="Times New Roman" w:hAnsi="Times New Roman" w:eastAsia="黑体"/>
          <w:spacing w:val="-6"/>
        </w:rPr>
        <w:t>1</w:t>
      </w:r>
      <w:r>
        <w:rPr>
          <w:rFonts w:ascii="Times New Roman" w:hAnsi="Times New Roman" w:eastAsia="黑体"/>
          <w:spacing w:val="-6"/>
        </w:rPr>
        <w:t xml:space="preserve"> </w:t>
      </w:r>
      <w:r>
        <w:rPr>
          <w:rFonts w:hint="eastAsia" w:ascii="Times New Roman" w:hAnsi="Times New Roman" w:eastAsia="黑体"/>
          <w:spacing w:val="-6"/>
        </w:rPr>
        <w:t>定值单位</w:t>
      </w:r>
    </w:p>
    <w:p w14:paraId="223285E1">
      <w:pPr>
        <w:pStyle w:val="233"/>
        <w:spacing w:line="360" w:lineRule="auto"/>
        <w:ind w:firstLine="396" w:firstLineChars="200"/>
        <w:jc w:val="both"/>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小麦不完善粒标准样品联合定值由以下8家单位共同完成：</w:t>
      </w:r>
    </w:p>
    <w:p w14:paraId="0746D5FE">
      <w:pPr>
        <w:pStyle w:val="233"/>
        <w:numPr>
          <w:ilvl w:val="0"/>
          <w:numId w:val="43"/>
        </w:numPr>
        <w:spacing w:line="360" w:lineRule="auto"/>
        <w:jc w:val="both"/>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农业农村部谷物品质监督检验测试中心</w:t>
      </w:r>
    </w:p>
    <w:p w14:paraId="438C2F2A">
      <w:pPr>
        <w:pStyle w:val="233"/>
        <w:numPr>
          <w:ilvl w:val="0"/>
          <w:numId w:val="43"/>
        </w:numPr>
        <w:spacing w:line="360" w:lineRule="auto"/>
        <w:jc w:val="both"/>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农业农村部谷物及制品质量监督检验测试中心（哈尔滨）</w:t>
      </w:r>
    </w:p>
    <w:p w14:paraId="73FA3971">
      <w:pPr>
        <w:pStyle w:val="233"/>
        <w:numPr>
          <w:ilvl w:val="0"/>
          <w:numId w:val="43"/>
        </w:numPr>
        <w:spacing w:line="360" w:lineRule="auto"/>
        <w:jc w:val="both"/>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农业农村部稻米及制品质量监督检验测试中心</w:t>
      </w:r>
    </w:p>
    <w:p w14:paraId="617AA66D">
      <w:pPr>
        <w:pStyle w:val="233"/>
        <w:numPr>
          <w:ilvl w:val="0"/>
          <w:numId w:val="43"/>
        </w:numPr>
        <w:spacing w:line="360" w:lineRule="auto"/>
        <w:jc w:val="both"/>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中国农业科学院油料作物研究所测试中心</w:t>
      </w:r>
    </w:p>
    <w:p w14:paraId="394F7F89">
      <w:pPr>
        <w:pStyle w:val="233"/>
        <w:numPr>
          <w:ilvl w:val="0"/>
          <w:numId w:val="43"/>
        </w:numPr>
        <w:spacing w:line="360" w:lineRule="auto"/>
        <w:jc w:val="both"/>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大连华正检验有限公司</w:t>
      </w:r>
    </w:p>
    <w:p w14:paraId="39DC7FBD">
      <w:pPr>
        <w:pStyle w:val="233"/>
        <w:numPr>
          <w:ilvl w:val="0"/>
          <w:numId w:val="43"/>
        </w:numPr>
        <w:spacing w:line="360" w:lineRule="auto"/>
        <w:jc w:val="both"/>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腾德商品检测（上海）有限公司</w:t>
      </w:r>
    </w:p>
    <w:p w14:paraId="5B1D4EC0">
      <w:pPr>
        <w:pStyle w:val="233"/>
        <w:numPr>
          <w:ilvl w:val="0"/>
          <w:numId w:val="43"/>
        </w:numPr>
        <w:spacing w:line="360" w:lineRule="auto"/>
        <w:jc w:val="both"/>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国家粮油标准研究验证测试中心</w:t>
      </w:r>
    </w:p>
    <w:p w14:paraId="0E62F478">
      <w:pPr>
        <w:pStyle w:val="233"/>
        <w:numPr>
          <w:ilvl w:val="0"/>
          <w:numId w:val="43"/>
        </w:numPr>
        <w:spacing w:line="360" w:lineRule="auto"/>
        <w:jc w:val="both"/>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上海出入境检验检疫局</w:t>
      </w:r>
    </w:p>
    <w:p w14:paraId="05495579">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7</w:t>
      </w:r>
      <w:r>
        <w:rPr>
          <w:rFonts w:ascii="Times New Roman" w:hAnsi="Times New Roman" w:eastAsia="黑体"/>
          <w:spacing w:val="-6"/>
        </w:rPr>
        <w:t>.</w:t>
      </w:r>
      <w:r>
        <w:rPr>
          <w:rFonts w:hint="eastAsia" w:ascii="Times New Roman" w:hAnsi="Times New Roman" w:eastAsia="黑体"/>
          <w:spacing w:val="-6"/>
        </w:rPr>
        <w:t>2</w:t>
      </w:r>
      <w:r>
        <w:rPr>
          <w:rFonts w:ascii="Times New Roman" w:hAnsi="Times New Roman" w:eastAsia="黑体"/>
          <w:spacing w:val="-6"/>
        </w:rPr>
        <w:t xml:space="preserve"> </w:t>
      </w:r>
      <w:r>
        <w:rPr>
          <w:rFonts w:hint="eastAsia" w:ascii="Times New Roman" w:hAnsi="Times New Roman" w:eastAsia="黑体"/>
          <w:spacing w:val="-6"/>
        </w:rPr>
        <w:t>定值方法</w:t>
      </w:r>
    </w:p>
    <w:p w14:paraId="6960A712">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向各定值单位分别提供标准样品3套。</w:t>
      </w:r>
      <w:bookmarkStart w:id="55" w:name="_Hlk21768306"/>
      <w:r>
        <w:rPr>
          <w:rFonts w:ascii="Times New Roman" w:hAnsi="Times New Roman"/>
          <w:snapToGrid w:val="0"/>
          <w:color w:val="000000"/>
          <w:spacing w:val="-6"/>
        </w:rPr>
        <w:t>各单位根据GB 1351，对小麦不完善粒</w:t>
      </w:r>
      <w:bookmarkStart w:id="56" w:name="_Hlk28876499"/>
      <w:r>
        <w:rPr>
          <w:rFonts w:ascii="Times New Roman" w:hAnsi="Times New Roman"/>
          <w:snapToGrid w:val="0"/>
          <w:color w:val="000000"/>
          <w:spacing w:val="-6"/>
        </w:rPr>
        <w:t>5个</w:t>
      </w:r>
      <w:r>
        <w:rPr>
          <w:rFonts w:hint="eastAsia" w:ascii="Times New Roman" w:hAnsi="Times New Roman"/>
          <w:snapToGrid w:val="0"/>
          <w:color w:val="000000"/>
          <w:spacing w:val="-6"/>
        </w:rPr>
        <w:t>种类</w:t>
      </w:r>
      <w:r>
        <w:rPr>
          <w:rFonts w:ascii="Times New Roman" w:hAnsi="Times New Roman"/>
          <w:snapToGrid w:val="0"/>
          <w:color w:val="000000"/>
          <w:spacing w:val="-6"/>
        </w:rPr>
        <w:t>的鉴定特征</w:t>
      </w:r>
      <w:bookmarkEnd w:id="56"/>
      <w:r>
        <w:rPr>
          <w:rFonts w:ascii="Times New Roman" w:hAnsi="Times New Roman"/>
          <w:snapToGrid w:val="0"/>
          <w:color w:val="000000"/>
          <w:spacing w:val="-6"/>
        </w:rPr>
        <w:t>分别进行确认。</w:t>
      </w:r>
    </w:p>
    <w:bookmarkEnd w:id="55"/>
    <w:p w14:paraId="3BF64C82">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小麦不完善粒5个</w:t>
      </w:r>
      <w:r>
        <w:rPr>
          <w:rFonts w:hint="eastAsia" w:ascii="Times New Roman" w:hAnsi="Times New Roman"/>
          <w:snapToGrid w:val="0"/>
          <w:color w:val="000000"/>
          <w:spacing w:val="-6"/>
        </w:rPr>
        <w:t>种类</w:t>
      </w:r>
      <w:r>
        <w:rPr>
          <w:rFonts w:ascii="Times New Roman" w:hAnsi="Times New Roman"/>
          <w:snapToGrid w:val="0"/>
          <w:color w:val="000000"/>
          <w:spacing w:val="-6"/>
        </w:rPr>
        <w:t>的鉴定特征：</w:t>
      </w:r>
    </w:p>
    <w:p w14:paraId="72E1F170">
      <w:pPr>
        <w:numPr>
          <w:ilvl w:val="0"/>
          <w:numId w:val="44"/>
        </w:numPr>
        <w:spacing w:line="360" w:lineRule="auto"/>
        <w:rPr>
          <w:rFonts w:ascii="Times New Roman" w:hAnsi="Times New Roman"/>
          <w:snapToGrid w:val="0"/>
          <w:color w:val="000000"/>
          <w:spacing w:val="-6"/>
        </w:rPr>
      </w:pPr>
      <w:r>
        <w:rPr>
          <w:rFonts w:ascii="Times New Roman" w:hAnsi="Times New Roman"/>
          <w:snapToGrid w:val="0"/>
          <w:color w:val="000000"/>
          <w:spacing w:val="-6"/>
        </w:rPr>
        <w:t>虫蚀粒（injured kernel）：被虫蛀蚀，伤及胚或胚乳的颗粒。</w:t>
      </w:r>
    </w:p>
    <w:p w14:paraId="60F84A33">
      <w:pPr>
        <w:numPr>
          <w:ilvl w:val="0"/>
          <w:numId w:val="44"/>
        </w:numPr>
        <w:spacing w:line="360" w:lineRule="auto"/>
        <w:rPr>
          <w:rFonts w:ascii="Times New Roman" w:hAnsi="Times New Roman"/>
          <w:snapToGrid w:val="0"/>
          <w:color w:val="000000"/>
          <w:spacing w:val="-6"/>
        </w:rPr>
      </w:pPr>
      <w:r>
        <w:rPr>
          <w:rFonts w:ascii="Times New Roman" w:hAnsi="Times New Roman"/>
          <w:snapToGrid w:val="0"/>
          <w:color w:val="000000"/>
          <w:spacing w:val="-6"/>
        </w:rPr>
        <w:t>病斑粒（spotted kernel）：粒面带有病斑，伤及胚或胚乳的颗粒。</w:t>
      </w:r>
    </w:p>
    <w:p w14:paraId="304371C0">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黑胚粒（black germ kernel）：籽粒胚部呈深褐色或黑色，伤及胚或胚乳的颗粒。</w:t>
      </w:r>
    </w:p>
    <w:p w14:paraId="266FA9D2">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赤霉病粒（gibberella damaged kernel）：籽粒皱缩，呆白，有的粒面呈紫色，或有明显的粉红色霉状物，间有黑色子囊壳。</w:t>
      </w:r>
    </w:p>
    <w:p w14:paraId="24D29350">
      <w:pPr>
        <w:numPr>
          <w:ilvl w:val="0"/>
          <w:numId w:val="44"/>
        </w:numPr>
        <w:spacing w:line="360" w:lineRule="auto"/>
        <w:rPr>
          <w:rFonts w:ascii="Times New Roman" w:hAnsi="Times New Roman"/>
          <w:snapToGrid w:val="0"/>
          <w:color w:val="000000"/>
          <w:spacing w:val="-6"/>
        </w:rPr>
      </w:pPr>
      <w:r>
        <w:rPr>
          <w:rFonts w:ascii="Times New Roman" w:hAnsi="Times New Roman"/>
          <w:snapToGrid w:val="0"/>
          <w:color w:val="000000"/>
          <w:spacing w:val="-6"/>
        </w:rPr>
        <w:t>破损粒(broken kernel)：压扁、破碎，伤及胚或胚乳的颗粒。</w:t>
      </w:r>
    </w:p>
    <w:p w14:paraId="3D6A3C7A">
      <w:pPr>
        <w:numPr>
          <w:ilvl w:val="0"/>
          <w:numId w:val="44"/>
        </w:numPr>
        <w:spacing w:line="360" w:lineRule="auto"/>
        <w:rPr>
          <w:rFonts w:ascii="Times New Roman" w:hAnsi="Times New Roman"/>
          <w:snapToGrid w:val="0"/>
          <w:color w:val="000000"/>
          <w:spacing w:val="-6"/>
        </w:rPr>
      </w:pPr>
      <w:r>
        <w:rPr>
          <w:rFonts w:ascii="Times New Roman" w:hAnsi="Times New Roman"/>
          <w:snapToGrid w:val="0"/>
          <w:color w:val="000000"/>
          <w:spacing w:val="-6"/>
        </w:rPr>
        <w:t>生芽粒（sprouted kernel）：芽或幼根虽未突破种皮但胚部种皮已破裂或明显隆起且与胚分离的颗粒，或芽或幼根突破种皮不超过本颗粒长度的颗粒。</w:t>
      </w:r>
    </w:p>
    <w:p w14:paraId="2F9EFB0C">
      <w:pPr>
        <w:numPr>
          <w:ilvl w:val="0"/>
          <w:numId w:val="44"/>
        </w:numPr>
        <w:spacing w:line="360" w:lineRule="auto"/>
        <w:rPr>
          <w:rFonts w:ascii="Times New Roman" w:hAnsi="Times New Roman"/>
          <w:snapToGrid w:val="0"/>
          <w:color w:val="000000"/>
          <w:spacing w:val="-6"/>
        </w:rPr>
      </w:pPr>
      <w:r>
        <w:rPr>
          <w:rFonts w:ascii="Times New Roman" w:hAnsi="Times New Roman"/>
          <w:snapToGrid w:val="0"/>
          <w:color w:val="000000"/>
          <w:spacing w:val="-6"/>
        </w:rPr>
        <w:t>生霉粒（moldy kernel）：粒面生霉的颗粒。</w:t>
      </w:r>
    </w:p>
    <w:p w14:paraId="0111D654">
      <w:pPr>
        <w:pStyle w:val="14"/>
        <w:widowControl/>
        <w:kinsoku w:val="0"/>
        <w:autoSpaceDE w:val="0"/>
        <w:autoSpaceDN w:val="0"/>
        <w:snapToGrid w:val="0"/>
        <w:spacing w:before="156" w:beforeLines="5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C</w:t>
      </w:r>
      <w:r>
        <w:rPr>
          <w:rFonts w:ascii="Times New Roman" w:hAnsi="Times New Roman" w:eastAsia="黑体"/>
          <w:spacing w:val="-6"/>
        </w:rPr>
        <w:t>.</w:t>
      </w:r>
      <w:r>
        <w:rPr>
          <w:rFonts w:hint="eastAsia" w:ascii="Times New Roman" w:hAnsi="Times New Roman" w:eastAsia="黑体"/>
          <w:spacing w:val="-6"/>
        </w:rPr>
        <w:t>8</w:t>
      </w:r>
      <w:r>
        <w:rPr>
          <w:rFonts w:ascii="Times New Roman" w:hAnsi="Times New Roman" w:eastAsia="黑体"/>
          <w:spacing w:val="-6"/>
        </w:rPr>
        <w:t xml:space="preserve">  </w:t>
      </w:r>
      <w:r>
        <w:rPr>
          <w:rFonts w:hint="eastAsia" w:ascii="Times New Roman" w:hAnsi="Times New Roman" w:eastAsia="黑体"/>
          <w:spacing w:val="-6"/>
        </w:rPr>
        <w:t>小麦不完善粒标准样品使用方法</w:t>
      </w:r>
    </w:p>
    <w:p w14:paraId="2457F543">
      <w:pPr>
        <w:spacing w:line="360" w:lineRule="auto"/>
        <w:ind w:firstLine="396" w:firstLineChars="200"/>
        <w:rPr>
          <w:rFonts w:ascii="Times New Roman" w:hAnsi="Times New Roman"/>
          <w:snapToGrid w:val="0"/>
          <w:color w:val="000000"/>
          <w:spacing w:val="-6"/>
        </w:rPr>
      </w:pPr>
      <w:r>
        <w:rPr>
          <w:rFonts w:ascii="Times New Roman" w:hAnsi="Times New Roman"/>
          <w:snapToGrid w:val="0"/>
          <w:color w:val="000000"/>
          <w:spacing w:val="-6"/>
        </w:rPr>
        <w:t>本标准样品塑封于树脂中，无需取出。使用时手持标准样品，注意标准样品表面不可沾有水汽、灰尘或指纹等，面朝光源方向，将标准样品置于和视线同等高度，在自然光源或白炽光源照射下进行肉眼观察，配合GB 1351《小麦》使用。</w:t>
      </w:r>
    </w:p>
    <w:p w14:paraId="5D68CD47">
      <w:pPr>
        <w:spacing w:line="360" w:lineRule="auto"/>
        <w:ind w:firstLine="396" w:firstLineChars="200"/>
        <w:rPr>
          <w:rFonts w:ascii="Times New Roman" w:hAnsi="Times New Roman"/>
          <w:snapToGrid w:val="0"/>
          <w:color w:val="000000"/>
          <w:spacing w:val="-6"/>
        </w:rPr>
      </w:pPr>
    </w:p>
    <w:p w14:paraId="1897FC24">
      <w:pPr>
        <w:spacing w:line="360" w:lineRule="auto"/>
        <w:rPr>
          <w:rFonts w:ascii="Times New Roman" w:hAnsi="Times New Roman"/>
          <w:snapToGrid w:val="0"/>
          <w:color w:val="000000"/>
          <w:spacing w:val="-6"/>
        </w:rPr>
      </w:pPr>
    </w:p>
    <w:p w14:paraId="19B0BD0F">
      <w:r>
        <w:rPr>
          <w:rFonts w:hint="eastAsia"/>
        </w:rPr>
        <w:br w:type="page"/>
      </w:r>
    </w:p>
    <w:p w14:paraId="4340DDFE">
      <w:pPr>
        <w:pStyle w:val="14"/>
        <w:widowControl/>
        <w:kinsoku w:val="0"/>
        <w:autoSpaceDE w:val="0"/>
        <w:autoSpaceDN w:val="0"/>
        <w:snapToGrid w:val="0"/>
        <w:spacing w:line="360" w:lineRule="auto"/>
        <w:jc w:val="center"/>
        <w:textAlignment w:val="baseline"/>
        <w:rPr>
          <w:rFonts w:ascii="Times New Roman" w:hAnsi="Times New Roman" w:eastAsia="黑体"/>
        </w:rPr>
      </w:pPr>
      <w:r>
        <w:rPr>
          <w:rFonts w:ascii="Times New Roman" w:hAnsi="Times New Roman" w:eastAsia="黑体"/>
          <w:spacing w:val="-9"/>
          <w:position w:val="8"/>
        </w:rPr>
        <w:t xml:space="preserve">附  录  </w:t>
      </w:r>
      <w:r>
        <w:rPr>
          <w:rFonts w:hint="eastAsia" w:ascii="Times New Roman" w:hAnsi="Times New Roman" w:eastAsia="黑体"/>
          <w:spacing w:val="-9"/>
          <w:position w:val="8"/>
        </w:rPr>
        <w:t>D</w:t>
      </w:r>
    </w:p>
    <w:p w14:paraId="056E863F">
      <w:pPr>
        <w:wordWrap w:val="0"/>
        <w:spacing w:line="360" w:lineRule="auto"/>
        <w:jc w:val="center"/>
        <w:rPr>
          <w:rFonts w:ascii="Times New Roman" w:hAnsi="Times New Roman" w:eastAsia="黑体"/>
        </w:rPr>
      </w:pPr>
      <w:r>
        <w:rPr>
          <w:rFonts w:ascii="Times New Roman" w:hAnsi="Times New Roman" w:eastAsia="黑体"/>
          <w:spacing w:val="-2"/>
        </w:rPr>
        <w:t>(资料性)</w:t>
      </w:r>
    </w:p>
    <w:p w14:paraId="29058844">
      <w:pPr>
        <w:pStyle w:val="14"/>
        <w:wordWrap w:val="0"/>
        <w:spacing w:line="360" w:lineRule="auto"/>
        <w:ind w:firstLine="414"/>
        <w:jc w:val="center"/>
        <w:rPr>
          <w:rFonts w:ascii="Times New Roman" w:hAnsi="Times New Roman"/>
          <w:spacing w:val="-2"/>
        </w:rPr>
      </w:pPr>
      <w:r>
        <w:rPr>
          <w:rFonts w:ascii="Times New Roman" w:hAnsi="Times New Roman" w:eastAsia="黑体"/>
          <w:spacing w:val="-2"/>
        </w:rPr>
        <w:t>乳粉中DHA成分实物标样(QCM)的研制</w:t>
      </w:r>
    </w:p>
    <w:p w14:paraId="75D29E4A">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rPr>
      </w:pPr>
      <w:r>
        <w:rPr>
          <w:rFonts w:hint="eastAsia" w:ascii="Times New Roman" w:hAnsi="Times New Roman" w:eastAsia="黑体"/>
          <w:spacing w:val="-6"/>
        </w:rPr>
        <w:t>D</w:t>
      </w:r>
      <w:r>
        <w:rPr>
          <w:rFonts w:ascii="Times New Roman" w:hAnsi="Times New Roman" w:eastAsia="黑体"/>
          <w:spacing w:val="-6"/>
        </w:rPr>
        <w:t>.1  介绍</w:t>
      </w:r>
    </w:p>
    <w:p w14:paraId="2D1249CA">
      <w:pPr>
        <w:wordWrap w:val="0"/>
        <w:spacing w:line="360" w:lineRule="auto"/>
        <w:ind w:firstLine="420"/>
        <w:rPr>
          <w:rFonts w:ascii="Times New Roman" w:hAnsi="Times New Roman"/>
        </w:rPr>
      </w:pPr>
      <w:r>
        <w:rPr>
          <w:rFonts w:ascii="Times New Roman" w:hAnsi="Times New Roman"/>
        </w:rPr>
        <w:t>经国家标准物质研究中心和国外标准物质研究机构的网站查询，目前国内外均无乳粉中DHA成分分析标准物质。</w:t>
      </w:r>
      <w:r>
        <w:rPr>
          <w:rFonts w:hint="eastAsia" w:ascii="Times New Roman" w:hAnsi="Times New Roman"/>
        </w:rPr>
        <w:t>我国的</w:t>
      </w:r>
      <w:r>
        <w:rPr>
          <w:rFonts w:ascii="Times New Roman" w:hAnsi="Times New Roman"/>
        </w:rPr>
        <w:t>GB 10765-2021（0-6月龄婴儿配方食品）</w:t>
      </w:r>
      <w:r>
        <w:rPr>
          <w:rFonts w:hint="eastAsia" w:ascii="Times New Roman" w:hAnsi="Times New Roman"/>
        </w:rPr>
        <w:t>中规定</w:t>
      </w:r>
      <w:r>
        <w:rPr>
          <w:rFonts w:ascii="Times New Roman" w:hAnsi="Times New Roman"/>
        </w:rPr>
        <w:t>DHA添加量为3.6-9.6mg/100kJ，按2100kJ/100g换算，即75.6-201.6mg/100g</w:t>
      </w:r>
      <w:r>
        <w:rPr>
          <w:rFonts w:hint="eastAsia" w:ascii="Times New Roman" w:hAnsi="Times New Roman"/>
        </w:rPr>
        <w:t>；在</w:t>
      </w:r>
      <w:r>
        <w:rPr>
          <w:rFonts w:ascii="Times New Roman" w:hAnsi="Times New Roman"/>
        </w:rPr>
        <w:t>GB 10766-2021（6-12月龄较大婴儿配方食品）</w:t>
      </w:r>
      <w:r>
        <w:rPr>
          <w:rFonts w:hint="eastAsia" w:ascii="Times New Roman" w:hAnsi="Times New Roman"/>
        </w:rPr>
        <w:t>中规定</w:t>
      </w:r>
      <w:r>
        <w:rPr>
          <w:rFonts w:ascii="Times New Roman" w:hAnsi="Times New Roman"/>
        </w:rPr>
        <w:t>DHA添加量为3.6-9.6mg/100kJ</w:t>
      </w:r>
      <w:r>
        <w:rPr>
          <w:rFonts w:hint="eastAsia" w:ascii="Times New Roman" w:hAnsi="Times New Roman"/>
        </w:rPr>
        <w:t xml:space="preserve">；在 </w:t>
      </w:r>
      <w:r>
        <w:rPr>
          <w:rFonts w:ascii="Times New Roman" w:hAnsi="Times New Roman"/>
        </w:rPr>
        <w:t>-2021（12-36月龄幼儿配方食品）</w:t>
      </w:r>
      <w:r>
        <w:rPr>
          <w:rFonts w:hint="eastAsia" w:ascii="Times New Roman" w:hAnsi="Times New Roman"/>
        </w:rPr>
        <w:t>中规定</w:t>
      </w:r>
      <w:r>
        <w:rPr>
          <w:rFonts w:ascii="Times New Roman" w:hAnsi="Times New Roman"/>
        </w:rPr>
        <w:t>DHA添加量为3.6-9.6mg/100kJ</w:t>
      </w:r>
      <w:r>
        <w:rPr>
          <w:rFonts w:hint="eastAsia" w:ascii="Times New Roman" w:hAnsi="Times New Roman"/>
        </w:rPr>
        <w:t>。</w:t>
      </w:r>
      <w:r>
        <w:rPr>
          <w:rFonts w:ascii="Times New Roman" w:hAnsi="Times New Roman"/>
        </w:rPr>
        <w:t>因此，本项目计划针对</w:t>
      </w:r>
      <w:r>
        <w:rPr>
          <w:rFonts w:hint="eastAsia" w:ascii="Times New Roman" w:hAnsi="Times New Roman"/>
        </w:rPr>
        <w:t>“</w:t>
      </w:r>
      <w:r>
        <w:rPr>
          <w:rFonts w:ascii="Times New Roman" w:hAnsi="Times New Roman"/>
        </w:rPr>
        <w:t>乳粉中DHA</w:t>
      </w:r>
      <w:r>
        <w:rPr>
          <w:rFonts w:hint="eastAsia" w:ascii="Times New Roman" w:hAnsi="Times New Roman"/>
        </w:rPr>
        <w:t>”</w:t>
      </w:r>
      <w:r>
        <w:rPr>
          <w:rFonts w:ascii="Times New Roman" w:hAnsi="Times New Roman"/>
        </w:rPr>
        <w:t>检测需求，研究基体标准物质，基体的选择能够满足实验室样品代表性要求，目标物的含量与日常检测水平相当，对产品日常检测起到质量控制，且可用于实验室日常质量控制的评价。</w:t>
      </w:r>
    </w:p>
    <w:p w14:paraId="44C278D5">
      <w:pPr>
        <w:wordWrap w:val="0"/>
        <w:spacing w:line="360" w:lineRule="auto"/>
        <w:ind w:firstLine="420"/>
        <w:rPr>
          <w:rFonts w:ascii="Times New Roman" w:hAnsi="Times New Roman"/>
        </w:rPr>
      </w:pPr>
      <w:r>
        <w:rPr>
          <w:rFonts w:ascii="Times New Roman" w:hAnsi="Times New Roman"/>
        </w:rPr>
        <w:t>本标准物质主要用于乳粉中DHA成分的检测，包括食品领域相关成分分析检测，乳制品生产部门和检测实验室质量控制、分析方法验证/确认评价等。</w:t>
      </w:r>
    </w:p>
    <w:p w14:paraId="67617AB1">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.2  采样</w:t>
      </w:r>
    </w:p>
    <w:p w14:paraId="625BB7FE">
      <w:pPr>
        <w:wordWrap w:val="0"/>
        <w:spacing w:line="360" w:lineRule="auto"/>
        <w:ind w:firstLine="420"/>
        <w:rPr>
          <w:rFonts w:ascii="Times New Roman" w:hAnsi="Times New Roman"/>
        </w:rPr>
      </w:pPr>
      <w:r>
        <w:rPr>
          <w:rFonts w:ascii="Times New Roman" w:hAnsi="Times New Roman"/>
        </w:rPr>
        <w:t>本研究目标为研制日常质量控制中DHA成分分析标准物质，因此选用与日常检测水平相当的乳粉做为标准物质候选物。</w:t>
      </w:r>
    </w:p>
    <w:p w14:paraId="066291B3">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.3  加工制备</w:t>
      </w:r>
    </w:p>
    <w:p w14:paraId="050930CC">
      <w:pPr>
        <w:wordWrap w:val="0"/>
        <w:spacing w:line="360" w:lineRule="auto"/>
        <w:ind w:firstLine="420"/>
        <w:rPr>
          <w:rFonts w:ascii="Times New Roman" w:hAnsi="Times New Roman"/>
        </w:rPr>
      </w:pPr>
      <w:r>
        <w:rPr>
          <w:rFonts w:ascii="Times New Roman" w:hAnsi="Times New Roman"/>
        </w:rPr>
        <w:t>满足成分量值要求的乳粉中DHA成分分析标准物质原料，君乐宝自主乳粉经过混匀、分装、辐照、低温冷冻等技术工艺，获得该基体标准物质候选物，保证了最后制得样品的均匀性和真实性。选择符合样品遴选要求的候选物，将其倒入三维混匀机内中，将转速调在中档，在避光的环境条件下，充分混匀4 h。</w:t>
      </w:r>
    </w:p>
    <w:p w14:paraId="1E380798">
      <w:pPr>
        <w:wordWrap w:val="0"/>
        <w:spacing w:line="360" w:lineRule="auto"/>
        <w:ind w:firstLine="420"/>
        <w:rPr>
          <w:rFonts w:ascii="Times New Roman" w:hAnsi="Times New Roman"/>
        </w:rPr>
      </w:pPr>
      <w:r>
        <w:rPr>
          <w:rFonts w:ascii="Times New Roman" w:hAnsi="Times New Roman"/>
        </w:rPr>
        <w:t>以下问题需要考虑：</w:t>
      </w:r>
    </w:p>
    <w:p w14:paraId="2E6C8F75">
      <w:pPr>
        <w:wordWrap w:val="0"/>
        <w:spacing w:line="360" w:lineRule="auto"/>
        <w:ind w:firstLine="420"/>
        <w:rPr>
          <w:rFonts w:ascii="Times New Roman" w:hAnsi="Times New Roman"/>
        </w:rPr>
      </w:pPr>
      <w:r>
        <w:rPr>
          <w:rFonts w:ascii="Times New Roman" w:hAnsi="Times New Roman"/>
        </w:rPr>
        <w:t>——目标成份量范围的确定；</w:t>
      </w:r>
    </w:p>
    <w:p w14:paraId="5BD3FB0C">
      <w:pPr>
        <w:wordWrap w:val="0"/>
        <w:spacing w:line="360" w:lineRule="auto"/>
        <w:ind w:firstLine="420"/>
        <w:rPr>
          <w:rFonts w:ascii="Times New Roman" w:hAnsi="Times New Roman"/>
        </w:rPr>
      </w:pPr>
      <w:r>
        <w:rPr>
          <w:rFonts w:ascii="Times New Roman" w:hAnsi="Times New Roman"/>
        </w:rPr>
        <w:t>——乳粉的混匀；</w:t>
      </w:r>
    </w:p>
    <w:p w14:paraId="766A7997">
      <w:pPr>
        <w:wordWrap w:val="0"/>
        <w:spacing w:line="360" w:lineRule="auto"/>
        <w:ind w:firstLine="420"/>
        <w:rPr>
          <w:rFonts w:ascii="Times New Roman" w:hAnsi="Times New Roman"/>
        </w:rPr>
      </w:pPr>
      <w:r>
        <w:rPr>
          <w:rFonts w:ascii="Times New Roman" w:hAnsi="Times New Roman"/>
        </w:rPr>
        <w:t>以上问题如下处理：</w:t>
      </w:r>
    </w:p>
    <w:p w14:paraId="616CEE9C">
      <w:pPr>
        <w:wordWrap w:val="0"/>
        <w:spacing w:line="360" w:lineRule="auto"/>
        <w:ind w:firstLine="420"/>
        <w:rPr>
          <w:rFonts w:ascii="Times New Roman" w:hAnsi="Times New Roman"/>
        </w:rPr>
      </w:pPr>
      <w:r>
        <w:rPr>
          <w:rFonts w:ascii="Times New Roman" w:hAnsi="Times New Roman"/>
        </w:rPr>
        <w:t>——选用与日常检测水平相当的乳粉做为标准物质候选物；</w:t>
      </w:r>
    </w:p>
    <w:p w14:paraId="32FD5332">
      <w:pPr>
        <w:wordWrap w:val="0"/>
        <w:spacing w:line="360" w:lineRule="auto"/>
        <w:ind w:firstLine="420"/>
        <w:rPr>
          <w:rFonts w:ascii="Times New Roman" w:hAnsi="Times New Roman"/>
        </w:rPr>
      </w:pPr>
      <w:r>
        <w:rPr>
          <w:rFonts w:ascii="Times New Roman" w:hAnsi="Times New Roman"/>
        </w:rPr>
        <w:t>——在三维混匀机内，中速避光充分混匀4h。</w:t>
      </w:r>
    </w:p>
    <w:p w14:paraId="056364EE">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.4  分装及储存</w:t>
      </w:r>
    </w:p>
    <w:p w14:paraId="0C28CC67">
      <w:pPr>
        <w:pStyle w:val="239"/>
        <w:wordWrap w:val="0"/>
        <w:spacing w:before="31" w:line="360" w:lineRule="auto"/>
        <w:ind w:firstLine="420"/>
        <w:rPr>
          <w:sz w:val="21"/>
          <w:szCs w:val="21"/>
        </w:rPr>
      </w:pPr>
      <w:r>
        <w:rPr>
          <w:sz w:val="21"/>
          <w:szCs w:val="21"/>
        </w:rPr>
        <w:t>将混匀后乳粉分装成小包装，用真空包装机抽真空保存，可以分装800个单元；针对分装好的标准物质候选物，利用放射性同位素Co60的γ射线杀灭样品中的病原微生物和其他腐败微生物，从而达到保藏或保鲜的目的。</w:t>
      </w:r>
    </w:p>
    <w:p w14:paraId="6E454F3F">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.4.1 问题</w:t>
      </w:r>
    </w:p>
    <w:p w14:paraId="650C0A20">
      <w:pPr>
        <w:pStyle w:val="239"/>
        <w:wordWrap w:val="0"/>
        <w:spacing w:before="31" w:line="360" w:lineRule="auto"/>
        <w:ind w:firstLine="420"/>
        <w:rPr>
          <w:sz w:val="21"/>
          <w:szCs w:val="21"/>
        </w:rPr>
      </w:pPr>
      <w:r>
        <w:rPr>
          <w:sz w:val="21"/>
          <w:szCs w:val="21"/>
        </w:rPr>
        <w:t>以下问题需要考虑：</w:t>
      </w:r>
    </w:p>
    <w:p w14:paraId="05EBE53D">
      <w:pPr>
        <w:pStyle w:val="239"/>
        <w:wordWrap w:val="0"/>
        <w:spacing w:before="31" w:line="360" w:lineRule="auto"/>
        <w:ind w:firstLine="420"/>
        <w:rPr>
          <w:sz w:val="21"/>
          <w:szCs w:val="21"/>
        </w:rPr>
      </w:pPr>
      <w:r>
        <w:rPr>
          <w:sz w:val="21"/>
          <w:szCs w:val="21"/>
        </w:rPr>
        <w:t>——细菌对乳粉标准物质原料的破坏；</w:t>
      </w:r>
    </w:p>
    <w:p w14:paraId="1CA0A972">
      <w:pPr>
        <w:pStyle w:val="239"/>
        <w:wordWrap w:val="0"/>
        <w:spacing w:before="31" w:line="360" w:lineRule="auto"/>
        <w:ind w:firstLine="420"/>
        <w:rPr>
          <w:sz w:val="21"/>
          <w:szCs w:val="21"/>
        </w:rPr>
      </w:pPr>
      <w:r>
        <w:rPr>
          <w:sz w:val="21"/>
          <w:szCs w:val="21"/>
        </w:rPr>
        <w:t>——辐照灭菌的计量、时间；</w:t>
      </w:r>
    </w:p>
    <w:p w14:paraId="4C15C643">
      <w:pPr>
        <w:pStyle w:val="239"/>
        <w:wordWrap w:val="0"/>
        <w:spacing w:before="31" w:line="360" w:lineRule="auto"/>
        <w:ind w:firstLine="420"/>
        <w:rPr>
          <w:sz w:val="21"/>
          <w:szCs w:val="21"/>
        </w:rPr>
      </w:pPr>
      <w:r>
        <w:rPr>
          <w:sz w:val="21"/>
          <w:szCs w:val="21"/>
        </w:rPr>
        <w:t>——储存方式。</w:t>
      </w:r>
    </w:p>
    <w:p w14:paraId="2CE48680">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.4.2 方法</w:t>
      </w:r>
    </w:p>
    <w:p w14:paraId="534C371C">
      <w:pPr>
        <w:wordWrap w:val="0"/>
        <w:spacing w:line="360" w:lineRule="auto"/>
        <w:ind w:firstLine="420"/>
        <w:rPr>
          <w:rFonts w:ascii="Times New Roman" w:hAnsi="Times New Roman"/>
        </w:rPr>
      </w:pPr>
      <w:r>
        <w:rPr>
          <w:rFonts w:ascii="Times New Roman" w:hAnsi="Times New Roman"/>
        </w:rPr>
        <w:t>以上问题如下处理：</w:t>
      </w:r>
    </w:p>
    <w:p w14:paraId="2A612614">
      <w:pPr>
        <w:wordWrap w:val="0"/>
        <w:spacing w:line="360" w:lineRule="auto"/>
        <w:ind w:firstLine="420"/>
        <w:rPr>
          <w:rFonts w:ascii="Times New Roman" w:hAnsi="Times New Roman"/>
        </w:rPr>
      </w:pPr>
      <w:r>
        <w:rPr>
          <w:rFonts w:ascii="Times New Roman" w:hAnsi="Times New Roman"/>
        </w:rPr>
        <w:t>——采用辐照灭菌法进行乳粉样品的灭菌处理；</w:t>
      </w:r>
    </w:p>
    <w:p w14:paraId="7EC524F2">
      <w:pPr>
        <w:wordWrap w:val="0"/>
        <w:spacing w:line="360" w:lineRule="auto"/>
        <w:ind w:firstLine="420"/>
        <w:rPr>
          <w:rFonts w:ascii="Times New Roman" w:hAnsi="Times New Roman"/>
        </w:rPr>
      </w:pPr>
      <w:r>
        <w:rPr>
          <w:rFonts w:ascii="Times New Roman" w:hAnsi="Times New Roman"/>
        </w:rPr>
        <w:t>——确定辐照剂量为5.5 kGy，辐照时间为4 h；</w:t>
      </w:r>
    </w:p>
    <w:p w14:paraId="212B0A51">
      <w:pPr>
        <w:wordWrap w:val="0"/>
        <w:spacing w:line="360" w:lineRule="auto"/>
        <w:ind w:firstLine="420"/>
        <w:rPr>
          <w:rFonts w:ascii="Times New Roman" w:hAnsi="Times New Roman"/>
        </w:rPr>
      </w:pPr>
      <w:r>
        <w:rPr>
          <w:rFonts w:ascii="Times New Roman" w:hAnsi="Times New Roman"/>
        </w:rPr>
        <w:t>——辐照后-20℃低温避光保存。</w:t>
      </w:r>
    </w:p>
    <w:p w14:paraId="30D4A615">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.5  均匀性</w:t>
      </w:r>
    </w:p>
    <w:p w14:paraId="29E3D9E5">
      <w:pPr>
        <w:wordWrap w:val="0"/>
        <w:spacing w:line="360" w:lineRule="auto"/>
        <w:ind w:firstLine="420"/>
        <w:rPr>
          <w:rFonts w:ascii="Times New Roman" w:hAnsi="Times New Roman"/>
        </w:rPr>
      </w:pPr>
      <w:r>
        <w:rPr>
          <w:rFonts w:ascii="Times New Roman" w:hAnsi="Times New Roman"/>
        </w:rPr>
        <w:t>通过三维混匀机实现均匀性（见</w:t>
      </w:r>
      <w:r>
        <w:rPr>
          <w:rFonts w:hint="eastAsia" w:ascii="Times New Roman" w:hAnsi="Times New Roman"/>
        </w:rPr>
        <w:t>D</w:t>
      </w:r>
      <w:r>
        <w:rPr>
          <w:rFonts w:ascii="Times New Roman" w:hAnsi="Times New Roman"/>
        </w:rPr>
        <w:t>.3）。</w:t>
      </w:r>
    </w:p>
    <w:p w14:paraId="7BED0F40">
      <w:pPr>
        <w:wordWrap w:val="0"/>
        <w:spacing w:line="360" w:lineRule="auto"/>
        <w:ind w:firstLine="420"/>
        <w:rPr>
          <w:rFonts w:ascii="Times New Roman" w:hAnsi="Times New Roman"/>
        </w:rPr>
      </w:pPr>
      <w:r>
        <w:rPr>
          <w:rFonts w:ascii="Times New Roman" w:hAnsi="Times New Roman"/>
        </w:rPr>
        <w:t>本项目采用基于GB 5009.168-2016 《食品安全国家标准 食品中脂肪酸的测定》第二法并优化气相色谱-乙酰氯-甲醇法建立的定值方法进行测定，对测量的数据进行方差分析，通过组间方差和组内方差的比较来判断不同单元中乳粉中DHA含量的测量值之间有无系统性差异。</w:t>
      </w:r>
    </w:p>
    <w:p w14:paraId="734CD9A0">
      <w:pPr>
        <w:wordWrap w:val="0"/>
        <w:spacing w:line="360" w:lineRule="auto"/>
        <w:ind w:firstLine="420"/>
        <w:rPr>
          <w:rFonts w:ascii="Times New Roman" w:hAnsi="Times New Roman"/>
        </w:rPr>
      </w:pPr>
      <w:r>
        <w:rPr>
          <w:rFonts w:ascii="Times New Roman" w:hAnsi="Times New Roman"/>
        </w:rPr>
        <w:t>乳粉中DHA成分分析标准物质的均匀性试验检测结果如下表：</w:t>
      </w:r>
    </w:p>
    <w:p w14:paraId="0CFEF755">
      <w:pPr>
        <w:wordWrap w:val="0"/>
        <w:spacing w:line="360" w:lineRule="auto"/>
        <w:ind w:firstLine="422"/>
        <w:jc w:val="center"/>
        <w:rPr>
          <w:rFonts w:ascii="Times New Roman" w:hAnsi="Times New Roman" w:eastAsia="黑体"/>
          <w:bCs/>
        </w:rPr>
      </w:pPr>
      <w:r>
        <w:rPr>
          <w:rFonts w:ascii="Times New Roman" w:hAnsi="Times New Roman" w:eastAsia="黑体"/>
          <w:bCs/>
        </w:rPr>
        <w:t>表</w:t>
      </w:r>
      <w:r>
        <w:rPr>
          <w:rFonts w:hint="eastAsia" w:ascii="Times New Roman" w:hAnsi="Times New Roman" w:eastAsia="黑体"/>
          <w:bCs/>
        </w:rPr>
        <w:t>D.</w:t>
      </w:r>
      <w:r>
        <w:rPr>
          <w:rFonts w:ascii="Times New Roman" w:hAnsi="Times New Roman" w:eastAsia="黑体"/>
          <w:bCs/>
        </w:rPr>
        <w:t>1 乳粉中DHA成分分析标准物质均匀性检验结果（单位：g/100g）</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1914"/>
        <w:gridCol w:w="1914"/>
        <w:gridCol w:w="1914"/>
        <w:gridCol w:w="1808"/>
      </w:tblGrid>
      <w:tr w14:paraId="4A03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2E3D330A">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编号</w:t>
            </w:r>
          </w:p>
        </w:tc>
        <w:tc>
          <w:tcPr>
            <w:tcW w:w="1914" w:type="dxa"/>
            <w:vAlign w:val="center"/>
          </w:tcPr>
          <w:p w14:paraId="5663E9A7">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1</w:t>
            </w:r>
          </w:p>
        </w:tc>
        <w:tc>
          <w:tcPr>
            <w:tcW w:w="1914" w:type="dxa"/>
            <w:vAlign w:val="center"/>
          </w:tcPr>
          <w:p w14:paraId="1D83033B">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2</w:t>
            </w:r>
          </w:p>
        </w:tc>
        <w:tc>
          <w:tcPr>
            <w:tcW w:w="1914" w:type="dxa"/>
            <w:vAlign w:val="center"/>
          </w:tcPr>
          <w:p w14:paraId="3377FB0A">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3</w:t>
            </w:r>
          </w:p>
        </w:tc>
        <w:tc>
          <w:tcPr>
            <w:tcW w:w="1808" w:type="dxa"/>
            <w:vAlign w:val="center"/>
          </w:tcPr>
          <w:p w14:paraId="50E9247E">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平均值</w:t>
            </w:r>
          </w:p>
        </w:tc>
      </w:tr>
      <w:tr w14:paraId="17D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21FB4058">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w:t>
            </w:r>
          </w:p>
        </w:tc>
        <w:tc>
          <w:tcPr>
            <w:tcW w:w="1914" w:type="dxa"/>
            <w:vAlign w:val="center"/>
          </w:tcPr>
          <w:p w14:paraId="01859155">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0.07095</w:t>
            </w:r>
          </w:p>
        </w:tc>
        <w:tc>
          <w:tcPr>
            <w:tcW w:w="1914" w:type="dxa"/>
            <w:vAlign w:val="center"/>
          </w:tcPr>
          <w:p w14:paraId="472F334E">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0.06894</w:t>
            </w:r>
          </w:p>
        </w:tc>
        <w:tc>
          <w:tcPr>
            <w:tcW w:w="1914" w:type="dxa"/>
            <w:vAlign w:val="center"/>
          </w:tcPr>
          <w:p w14:paraId="6EB0D942">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0.06714</w:t>
            </w:r>
          </w:p>
        </w:tc>
        <w:tc>
          <w:tcPr>
            <w:tcW w:w="1808" w:type="dxa"/>
            <w:vAlign w:val="center"/>
          </w:tcPr>
          <w:p w14:paraId="04D8F12B">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0.06901</w:t>
            </w:r>
          </w:p>
        </w:tc>
      </w:tr>
      <w:tr w14:paraId="46FB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2352C8C0">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2</w:t>
            </w:r>
          </w:p>
        </w:tc>
        <w:tc>
          <w:tcPr>
            <w:tcW w:w="1914" w:type="dxa"/>
            <w:vAlign w:val="center"/>
          </w:tcPr>
          <w:p w14:paraId="42ED0FB8">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0.06809</w:t>
            </w:r>
          </w:p>
        </w:tc>
        <w:tc>
          <w:tcPr>
            <w:tcW w:w="1914" w:type="dxa"/>
            <w:vAlign w:val="center"/>
          </w:tcPr>
          <w:p w14:paraId="364F1A3D">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0.06892</w:t>
            </w:r>
          </w:p>
        </w:tc>
        <w:tc>
          <w:tcPr>
            <w:tcW w:w="1914" w:type="dxa"/>
            <w:vAlign w:val="center"/>
          </w:tcPr>
          <w:p w14:paraId="008918F3">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0.06712</w:t>
            </w:r>
          </w:p>
        </w:tc>
        <w:tc>
          <w:tcPr>
            <w:tcW w:w="1808" w:type="dxa"/>
            <w:vAlign w:val="center"/>
          </w:tcPr>
          <w:p w14:paraId="068FFCFF">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0.06804</w:t>
            </w:r>
          </w:p>
        </w:tc>
      </w:tr>
      <w:tr w14:paraId="3DD3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47638312">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3</w:t>
            </w:r>
          </w:p>
        </w:tc>
        <w:tc>
          <w:tcPr>
            <w:tcW w:w="1914" w:type="dxa"/>
            <w:vAlign w:val="center"/>
          </w:tcPr>
          <w:p w14:paraId="44E6301C">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0.06898</w:t>
            </w:r>
          </w:p>
        </w:tc>
        <w:tc>
          <w:tcPr>
            <w:tcW w:w="1914" w:type="dxa"/>
            <w:vAlign w:val="center"/>
          </w:tcPr>
          <w:p w14:paraId="47F9A1EE">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0.06905</w:t>
            </w:r>
          </w:p>
        </w:tc>
        <w:tc>
          <w:tcPr>
            <w:tcW w:w="1914" w:type="dxa"/>
            <w:vAlign w:val="center"/>
          </w:tcPr>
          <w:p w14:paraId="5627D6C9">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0.06802</w:t>
            </w:r>
          </w:p>
        </w:tc>
        <w:tc>
          <w:tcPr>
            <w:tcW w:w="1808" w:type="dxa"/>
            <w:vAlign w:val="center"/>
          </w:tcPr>
          <w:p w14:paraId="527E36C7">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0.06868</w:t>
            </w:r>
          </w:p>
        </w:tc>
      </w:tr>
      <w:tr w14:paraId="5506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7027EC70">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4</w:t>
            </w:r>
          </w:p>
        </w:tc>
        <w:tc>
          <w:tcPr>
            <w:tcW w:w="1914" w:type="dxa"/>
            <w:vAlign w:val="center"/>
          </w:tcPr>
          <w:p w14:paraId="28AEB904">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0.06998</w:t>
            </w:r>
          </w:p>
        </w:tc>
        <w:tc>
          <w:tcPr>
            <w:tcW w:w="1914" w:type="dxa"/>
            <w:vAlign w:val="center"/>
          </w:tcPr>
          <w:p w14:paraId="4588FEC7">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0.06713</w:t>
            </w:r>
          </w:p>
        </w:tc>
        <w:tc>
          <w:tcPr>
            <w:tcW w:w="1914" w:type="dxa"/>
            <w:vAlign w:val="center"/>
          </w:tcPr>
          <w:p w14:paraId="63AD0A45">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0.06806</w:t>
            </w:r>
          </w:p>
        </w:tc>
        <w:tc>
          <w:tcPr>
            <w:tcW w:w="1808" w:type="dxa"/>
            <w:vAlign w:val="center"/>
          </w:tcPr>
          <w:p w14:paraId="4850C6DA">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0.06839</w:t>
            </w:r>
          </w:p>
        </w:tc>
      </w:tr>
      <w:tr w14:paraId="046D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20FF5872">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5</w:t>
            </w:r>
          </w:p>
        </w:tc>
        <w:tc>
          <w:tcPr>
            <w:tcW w:w="1914" w:type="dxa"/>
            <w:vAlign w:val="center"/>
          </w:tcPr>
          <w:p w14:paraId="2A2FA876">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0.07193</w:t>
            </w:r>
          </w:p>
        </w:tc>
        <w:tc>
          <w:tcPr>
            <w:tcW w:w="1914" w:type="dxa"/>
            <w:vAlign w:val="center"/>
          </w:tcPr>
          <w:p w14:paraId="7D32CC90">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0.06713</w:t>
            </w:r>
          </w:p>
        </w:tc>
        <w:tc>
          <w:tcPr>
            <w:tcW w:w="1914" w:type="dxa"/>
            <w:vAlign w:val="center"/>
          </w:tcPr>
          <w:p w14:paraId="6EECA513">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0.06994</w:t>
            </w:r>
          </w:p>
        </w:tc>
        <w:tc>
          <w:tcPr>
            <w:tcW w:w="1808" w:type="dxa"/>
            <w:vAlign w:val="center"/>
          </w:tcPr>
          <w:p w14:paraId="27A56569">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0.06966</w:t>
            </w:r>
          </w:p>
        </w:tc>
      </w:tr>
      <w:tr w14:paraId="065E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3E90851F">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6</w:t>
            </w:r>
          </w:p>
        </w:tc>
        <w:tc>
          <w:tcPr>
            <w:tcW w:w="1914" w:type="dxa"/>
            <w:vAlign w:val="center"/>
          </w:tcPr>
          <w:p w14:paraId="4EA0A303">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0.06614</w:t>
            </w:r>
          </w:p>
        </w:tc>
        <w:tc>
          <w:tcPr>
            <w:tcW w:w="1914" w:type="dxa"/>
            <w:vAlign w:val="center"/>
          </w:tcPr>
          <w:p w14:paraId="6167A965">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0.07001</w:t>
            </w:r>
          </w:p>
        </w:tc>
        <w:tc>
          <w:tcPr>
            <w:tcW w:w="1914" w:type="dxa"/>
            <w:vAlign w:val="center"/>
          </w:tcPr>
          <w:p w14:paraId="432F1D04">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0.06994</w:t>
            </w:r>
          </w:p>
        </w:tc>
        <w:tc>
          <w:tcPr>
            <w:tcW w:w="1808" w:type="dxa"/>
            <w:vAlign w:val="center"/>
          </w:tcPr>
          <w:p w14:paraId="313A7779">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0.06870</w:t>
            </w:r>
          </w:p>
        </w:tc>
      </w:tr>
      <w:tr w14:paraId="62F9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1541AE80">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7</w:t>
            </w:r>
          </w:p>
        </w:tc>
        <w:tc>
          <w:tcPr>
            <w:tcW w:w="1914" w:type="dxa"/>
            <w:vAlign w:val="center"/>
          </w:tcPr>
          <w:p w14:paraId="1A35ED50">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0.06992</w:t>
            </w:r>
          </w:p>
        </w:tc>
        <w:tc>
          <w:tcPr>
            <w:tcW w:w="1914" w:type="dxa"/>
            <w:vAlign w:val="center"/>
          </w:tcPr>
          <w:p w14:paraId="5A1C4061">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0.06988</w:t>
            </w:r>
          </w:p>
        </w:tc>
        <w:tc>
          <w:tcPr>
            <w:tcW w:w="1914" w:type="dxa"/>
            <w:vAlign w:val="center"/>
          </w:tcPr>
          <w:p w14:paraId="7C98D1CF">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0.06998</w:t>
            </w:r>
          </w:p>
        </w:tc>
        <w:tc>
          <w:tcPr>
            <w:tcW w:w="1808" w:type="dxa"/>
            <w:vAlign w:val="center"/>
          </w:tcPr>
          <w:p w14:paraId="3DF91C43">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0.06993</w:t>
            </w:r>
          </w:p>
        </w:tc>
      </w:tr>
      <w:tr w14:paraId="0790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5282C52A">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8</w:t>
            </w:r>
          </w:p>
        </w:tc>
        <w:tc>
          <w:tcPr>
            <w:tcW w:w="1914" w:type="dxa"/>
            <w:vAlign w:val="center"/>
          </w:tcPr>
          <w:p w14:paraId="7A9937F5">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0.06895</w:t>
            </w:r>
          </w:p>
        </w:tc>
        <w:tc>
          <w:tcPr>
            <w:tcW w:w="1914" w:type="dxa"/>
            <w:vAlign w:val="center"/>
          </w:tcPr>
          <w:p w14:paraId="4E32EF66">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0.06901</w:t>
            </w:r>
          </w:p>
        </w:tc>
        <w:tc>
          <w:tcPr>
            <w:tcW w:w="1914" w:type="dxa"/>
            <w:vAlign w:val="center"/>
          </w:tcPr>
          <w:p w14:paraId="77266260">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0.06706</w:t>
            </w:r>
          </w:p>
        </w:tc>
        <w:tc>
          <w:tcPr>
            <w:tcW w:w="1808" w:type="dxa"/>
            <w:vAlign w:val="center"/>
          </w:tcPr>
          <w:p w14:paraId="35382EF1">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0.06834</w:t>
            </w:r>
          </w:p>
        </w:tc>
      </w:tr>
      <w:tr w14:paraId="275E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5BA959F4">
            <w:pPr>
              <w:widowControl/>
              <w:autoSpaceDE w:val="0"/>
              <w:autoSpaceDN w:val="0"/>
              <w:snapToGrid w:val="0"/>
              <w:spacing w:before="156" w:beforeLines="50" w:line="360" w:lineRule="auto"/>
              <w:jc w:val="center"/>
              <w:textAlignment w:val="top"/>
              <w:rPr>
                <w:rFonts w:ascii="Times New Roman" w:hAnsi="Times New Roman" w:eastAsia="黑体"/>
                <w:bCs/>
              </w:rPr>
            </w:pPr>
            <w:r>
              <w:rPr>
                <w:rFonts w:hint="eastAsia" w:ascii="Times New Roman" w:hAnsi="Times New Roman"/>
              </w:rPr>
              <w:t>9</w:t>
            </w:r>
          </w:p>
        </w:tc>
        <w:tc>
          <w:tcPr>
            <w:tcW w:w="1914" w:type="dxa"/>
            <w:vAlign w:val="center"/>
          </w:tcPr>
          <w:p w14:paraId="749BC1C3">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hint="eastAsia" w:ascii="Times New Roman" w:hAnsi="Times New Roman"/>
              </w:rPr>
              <w:t>0.07094</w:t>
            </w:r>
          </w:p>
        </w:tc>
        <w:tc>
          <w:tcPr>
            <w:tcW w:w="1914" w:type="dxa"/>
            <w:vAlign w:val="center"/>
          </w:tcPr>
          <w:p w14:paraId="795B7737">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hint="eastAsia" w:ascii="Times New Roman" w:hAnsi="Times New Roman"/>
              </w:rPr>
              <w:t>0.06998</w:t>
            </w:r>
          </w:p>
        </w:tc>
        <w:tc>
          <w:tcPr>
            <w:tcW w:w="1914" w:type="dxa"/>
            <w:vAlign w:val="center"/>
          </w:tcPr>
          <w:p w14:paraId="21B181BF">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hint="eastAsia" w:ascii="Times New Roman" w:hAnsi="Times New Roman"/>
              </w:rPr>
              <w:t>0.06809</w:t>
            </w:r>
          </w:p>
        </w:tc>
        <w:tc>
          <w:tcPr>
            <w:tcW w:w="1808" w:type="dxa"/>
            <w:vAlign w:val="center"/>
          </w:tcPr>
          <w:p w14:paraId="4A658E6B">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hint="eastAsia" w:ascii="Times New Roman" w:hAnsi="Times New Roman"/>
              </w:rPr>
              <w:t>0.06967</w:t>
            </w:r>
          </w:p>
        </w:tc>
      </w:tr>
      <w:tr w14:paraId="2932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2FD9B6A6">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10</w:t>
            </w:r>
          </w:p>
        </w:tc>
        <w:tc>
          <w:tcPr>
            <w:tcW w:w="1914" w:type="dxa"/>
            <w:vAlign w:val="center"/>
          </w:tcPr>
          <w:p w14:paraId="2B82B09F">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0.06903</w:t>
            </w:r>
          </w:p>
        </w:tc>
        <w:tc>
          <w:tcPr>
            <w:tcW w:w="1914" w:type="dxa"/>
            <w:vAlign w:val="center"/>
          </w:tcPr>
          <w:p w14:paraId="2F3D9CD3">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0.07371</w:t>
            </w:r>
          </w:p>
        </w:tc>
        <w:tc>
          <w:tcPr>
            <w:tcW w:w="1914" w:type="dxa"/>
            <w:vAlign w:val="center"/>
          </w:tcPr>
          <w:p w14:paraId="0480267F">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0.06905</w:t>
            </w:r>
          </w:p>
        </w:tc>
        <w:tc>
          <w:tcPr>
            <w:tcW w:w="1808" w:type="dxa"/>
            <w:vAlign w:val="center"/>
          </w:tcPr>
          <w:p w14:paraId="60A44033">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0.07060</w:t>
            </w:r>
          </w:p>
        </w:tc>
      </w:tr>
      <w:tr w14:paraId="746E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6CEE137D">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11</w:t>
            </w:r>
          </w:p>
        </w:tc>
        <w:tc>
          <w:tcPr>
            <w:tcW w:w="1914" w:type="dxa"/>
            <w:vAlign w:val="center"/>
          </w:tcPr>
          <w:p w14:paraId="13F92106">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0.06310</w:t>
            </w:r>
          </w:p>
        </w:tc>
        <w:tc>
          <w:tcPr>
            <w:tcW w:w="1914" w:type="dxa"/>
            <w:vAlign w:val="center"/>
          </w:tcPr>
          <w:p w14:paraId="7126F975">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0.06317</w:t>
            </w:r>
          </w:p>
        </w:tc>
        <w:tc>
          <w:tcPr>
            <w:tcW w:w="1914" w:type="dxa"/>
            <w:vAlign w:val="center"/>
          </w:tcPr>
          <w:p w14:paraId="25392EF0">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0.06605</w:t>
            </w:r>
          </w:p>
        </w:tc>
        <w:tc>
          <w:tcPr>
            <w:tcW w:w="1808" w:type="dxa"/>
            <w:vAlign w:val="center"/>
          </w:tcPr>
          <w:p w14:paraId="71D5DD7E">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0.06411</w:t>
            </w:r>
          </w:p>
        </w:tc>
      </w:tr>
      <w:tr w14:paraId="6C0A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7170060F">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12</w:t>
            </w:r>
          </w:p>
        </w:tc>
        <w:tc>
          <w:tcPr>
            <w:tcW w:w="1914" w:type="dxa"/>
            <w:vAlign w:val="center"/>
          </w:tcPr>
          <w:p w14:paraId="0BAF34B4">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0.07001</w:t>
            </w:r>
          </w:p>
        </w:tc>
        <w:tc>
          <w:tcPr>
            <w:tcW w:w="1914" w:type="dxa"/>
            <w:vAlign w:val="center"/>
          </w:tcPr>
          <w:p w14:paraId="178B8E2C">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0.07279</w:t>
            </w:r>
          </w:p>
        </w:tc>
        <w:tc>
          <w:tcPr>
            <w:tcW w:w="1914" w:type="dxa"/>
            <w:vAlign w:val="center"/>
          </w:tcPr>
          <w:p w14:paraId="677E427F">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0.06868</w:t>
            </w:r>
          </w:p>
        </w:tc>
        <w:tc>
          <w:tcPr>
            <w:tcW w:w="1808" w:type="dxa"/>
            <w:vAlign w:val="center"/>
          </w:tcPr>
          <w:p w14:paraId="14C51FF0">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0.07049</w:t>
            </w:r>
          </w:p>
        </w:tc>
      </w:tr>
      <w:tr w14:paraId="0C9E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267376B8">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13</w:t>
            </w:r>
          </w:p>
        </w:tc>
        <w:tc>
          <w:tcPr>
            <w:tcW w:w="1914" w:type="dxa"/>
            <w:vAlign w:val="center"/>
          </w:tcPr>
          <w:p w14:paraId="6F0A22CF">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0.07001</w:t>
            </w:r>
          </w:p>
        </w:tc>
        <w:tc>
          <w:tcPr>
            <w:tcW w:w="1914" w:type="dxa"/>
            <w:vAlign w:val="center"/>
          </w:tcPr>
          <w:p w14:paraId="429D277C">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0.06895</w:t>
            </w:r>
          </w:p>
        </w:tc>
        <w:tc>
          <w:tcPr>
            <w:tcW w:w="1914" w:type="dxa"/>
            <w:vAlign w:val="center"/>
          </w:tcPr>
          <w:p w14:paraId="37EED22C">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0.06901</w:t>
            </w:r>
          </w:p>
        </w:tc>
        <w:tc>
          <w:tcPr>
            <w:tcW w:w="1808" w:type="dxa"/>
            <w:vAlign w:val="center"/>
          </w:tcPr>
          <w:p w14:paraId="26EA0A4A">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0.06932</w:t>
            </w:r>
          </w:p>
        </w:tc>
      </w:tr>
      <w:tr w14:paraId="5D21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21353B23">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14</w:t>
            </w:r>
          </w:p>
        </w:tc>
        <w:tc>
          <w:tcPr>
            <w:tcW w:w="1914" w:type="dxa"/>
            <w:vAlign w:val="center"/>
          </w:tcPr>
          <w:p w14:paraId="43BAA55A">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0.06994</w:t>
            </w:r>
          </w:p>
        </w:tc>
        <w:tc>
          <w:tcPr>
            <w:tcW w:w="1914" w:type="dxa"/>
            <w:vAlign w:val="center"/>
          </w:tcPr>
          <w:p w14:paraId="2BDA6498">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0.06423</w:t>
            </w:r>
          </w:p>
        </w:tc>
        <w:tc>
          <w:tcPr>
            <w:tcW w:w="1914" w:type="dxa"/>
            <w:vAlign w:val="center"/>
          </w:tcPr>
          <w:p w14:paraId="021CEED9">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0.07190</w:t>
            </w:r>
          </w:p>
        </w:tc>
        <w:tc>
          <w:tcPr>
            <w:tcW w:w="1808" w:type="dxa"/>
            <w:vAlign w:val="center"/>
          </w:tcPr>
          <w:p w14:paraId="6EB59643">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0.06869</w:t>
            </w:r>
          </w:p>
        </w:tc>
      </w:tr>
      <w:tr w14:paraId="68F9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2EC2CE3D">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15</w:t>
            </w:r>
          </w:p>
        </w:tc>
        <w:tc>
          <w:tcPr>
            <w:tcW w:w="1914" w:type="dxa"/>
            <w:vAlign w:val="center"/>
          </w:tcPr>
          <w:p w14:paraId="6190FD72">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0.07193</w:t>
            </w:r>
          </w:p>
        </w:tc>
        <w:tc>
          <w:tcPr>
            <w:tcW w:w="1914" w:type="dxa"/>
            <w:vAlign w:val="center"/>
          </w:tcPr>
          <w:p w14:paraId="5DA02B7D">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0.06712</w:t>
            </w:r>
          </w:p>
        </w:tc>
        <w:tc>
          <w:tcPr>
            <w:tcW w:w="1914" w:type="dxa"/>
            <w:vAlign w:val="center"/>
          </w:tcPr>
          <w:p w14:paraId="6C7CAA8C">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0.06988</w:t>
            </w:r>
          </w:p>
        </w:tc>
        <w:tc>
          <w:tcPr>
            <w:tcW w:w="1808" w:type="dxa"/>
            <w:vAlign w:val="center"/>
          </w:tcPr>
          <w:p w14:paraId="02B111A7">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0.06964</w:t>
            </w:r>
          </w:p>
        </w:tc>
      </w:tr>
      <w:tr w14:paraId="17C6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0BE2C66E">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16</w:t>
            </w:r>
          </w:p>
        </w:tc>
        <w:tc>
          <w:tcPr>
            <w:tcW w:w="1914" w:type="dxa"/>
            <w:vAlign w:val="center"/>
          </w:tcPr>
          <w:p w14:paraId="19343CAC">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0.07097</w:t>
            </w:r>
          </w:p>
        </w:tc>
        <w:tc>
          <w:tcPr>
            <w:tcW w:w="1914" w:type="dxa"/>
            <w:vAlign w:val="center"/>
          </w:tcPr>
          <w:p w14:paraId="5BCEE96B">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0.06980</w:t>
            </w:r>
          </w:p>
        </w:tc>
        <w:tc>
          <w:tcPr>
            <w:tcW w:w="1914" w:type="dxa"/>
            <w:vAlign w:val="center"/>
          </w:tcPr>
          <w:p w14:paraId="79AAA2E1">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0.06317</w:t>
            </w:r>
          </w:p>
        </w:tc>
        <w:tc>
          <w:tcPr>
            <w:tcW w:w="1808" w:type="dxa"/>
            <w:vAlign w:val="center"/>
          </w:tcPr>
          <w:p w14:paraId="219DE8D3">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0.06798</w:t>
            </w:r>
          </w:p>
        </w:tc>
      </w:tr>
      <w:tr w14:paraId="7D51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5CFE40C6">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17</w:t>
            </w:r>
          </w:p>
        </w:tc>
        <w:tc>
          <w:tcPr>
            <w:tcW w:w="1914" w:type="dxa"/>
            <w:vAlign w:val="center"/>
          </w:tcPr>
          <w:p w14:paraId="32020DFE">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0.06892</w:t>
            </w:r>
          </w:p>
        </w:tc>
        <w:tc>
          <w:tcPr>
            <w:tcW w:w="1914" w:type="dxa"/>
            <w:vAlign w:val="center"/>
          </w:tcPr>
          <w:p w14:paraId="4E6221FA">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0.07193</w:t>
            </w:r>
          </w:p>
        </w:tc>
        <w:tc>
          <w:tcPr>
            <w:tcW w:w="1914" w:type="dxa"/>
            <w:vAlign w:val="center"/>
          </w:tcPr>
          <w:p w14:paraId="5DC2D2F2">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0.06419</w:t>
            </w:r>
          </w:p>
        </w:tc>
        <w:tc>
          <w:tcPr>
            <w:tcW w:w="1808" w:type="dxa"/>
            <w:vAlign w:val="center"/>
          </w:tcPr>
          <w:p w14:paraId="2BDA508A">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0.06835</w:t>
            </w:r>
          </w:p>
        </w:tc>
      </w:tr>
      <w:tr w14:paraId="7D11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7A9BCF7A">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18</w:t>
            </w:r>
          </w:p>
        </w:tc>
        <w:tc>
          <w:tcPr>
            <w:tcW w:w="1914" w:type="dxa"/>
            <w:vAlign w:val="center"/>
          </w:tcPr>
          <w:p w14:paraId="18DD175F">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0.07193</w:t>
            </w:r>
          </w:p>
        </w:tc>
        <w:tc>
          <w:tcPr>
            <w:tcW w:w="1914" w:type="dxa"/>
            <w:vAlign w:val="center"/>
          </w:tcPr>
          <w:p w14:paraId="3BD328CB">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0.06419</w:t>
            </w:r>
          </w:p>
        </w:tc>
        <w:tc>
          <w:tcPr>
            <w:tcW w:w="1914" w:type="dxa"/>
            <w:vAlign w:val="center"/>
          </w:tcPr>
          <w:p w14:paraId="031A8C1E">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0.06513</w:t>
            </w:r>
          </w:p>
        </w:tc>
        <w:tc>
          <w:tcPr>
            <w:tcW w:w="1808" w:type="dxa"/>
            <w:vAlign w:val="center"/>
          </w:tcPr>
          <w:p w14:paraId="61CD7470">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0.06708</w:t>
            </w:r>
          </w:p>
        </w:tc>
      </w:tr>
      <w:tr w14:paraId="0C8D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7588B061">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19</w:t>
            </w:r>
          </w:p>
        </w:tc>
        <w:tc>
          <w:tcPr>
            <w:tcW w:w="1914" w:type="dxa"/>
            <w:vAlign w:val="center"/>
          </w:tcPr>
          <w:p w14:paraId="618DE628">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0.06509</w:t>
            </w:r>
          </w:p>
        </w:tc>
        <w:tc>
          <w:tcPr>
            <w:tcW w:w="1914" w:type="dxa"/>
            <w:vAlign w:val="center"/>
          </w:tcPr>
          <w:p w14:paraId="08E691DC">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0.06519</w:t>
            </w:r>
          </w:p>
        </w:tc>
        <w:tc>
          <w:tcPr>
            <w:tcW w:w="1914" w:type="dxa"/>
            <w:vAlign w:val="center"/>
          </w:tcPr>
          <w:p w14:paraId="0F0BBF78">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0.06704</w:t>
            </w:r>
          </w:p>
        </w:tc>
        <w:tc>
          <w:tcPr>
            <w:tcW w:w="1808" w:type="dxa"/>
            <w:vAlign w:val="center"/>
          </w:tcPr>
          <w:p w14:paraId="213105C1">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0.06577</w:t>
            </w:r>
          </w:p>
        </w:tc>
      </w:tr>
      <w:tr w14:paraId="4EBB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0D599943">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20</w:t>
            </w:r>
          </w:p>
        </w:tc>
        <w:tc>
          <w:tcPr>
            <w:tcW w:w="1914" w:type="dxa"/>
            <w:vAlign w:val="center"/>
          </w:tcPr>
          <w:p w14:paraId="7148149A">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0.07092</w:t>
            </w:r>
          </w:p>
        </w:tc>
        <w:tc>
          <w:tcPr>
            <w:tcW w:w="1914" w:type="dxa"/>
            <w:vAlign w:val="center"/>
          </w:tcPr>
          <w:p w14:paraId="53A0FE9A">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0.06802</w:t>
            </w:r>
          </w:p>
        </w:tc>
        <w:tc>
          <w:tcPr>
            <w:tcW w:w="1914" w:type="dxa"/>
            <w:vAlign w:val="center"/>
          </w:tcPr>
          <w:p w14:paraId="5F6419B7">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0.06710</w:t>
            </w:r>
          </w:p>
        </w:tc>
        <w:tc>
          <w:tcPr>
            <w:tcW w:w="1808" w:type="dxa"/>
            <w:vAlign w:val="center"/>
          </w:tcPr>
          <w:p w14:paraId="4C72E0FA">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0.06868</w:t>
            </w:r>
          </w:p>
        </w:tc>
      </w:tr>
      <w:tr w14:paraId="2798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684307C8">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21</w:t>
            </w:r>
          </w:p>
        </w:tc>
        <w:tc>
          <w:tcPr>
            <w:tcW w:w="1914" w:type="dxa"/>
            <w:vAlign w:val="center"/>
          </w:tcPr>
          <w:p w14:paraId="04CE452B">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0.06710</w:t>
            </w:r>
          </w:p>
        </w:tc>
        <w:tc>
          <w:tcPr>
            <w:tcW w:w="1914" w:type="dxa"/>
            <w:vAlign w:val="center"/>
          </w:tcPr>
          <w:p w14:paraId="4B16F1FA">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0.06905</w:t>
            </w:r>
          </w:p>
        </w:tc>
        <w:tc>
          <w:tcPr>
            <w:tcW w:w="1914" w:type="dxa"/>
            <w:vAlign w:val="center"/>
          </w:tcPr>
          <w:p w14:paraId="42986C77">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0.06713</w:t>
            </w:r>
          </w:p>
        </w:tc>
        <w:tc>
          <w:tcPr>
            <w:tcW w:w="1808" w:type="dxa"/>
            <w:vAlign w:val="center"/>
          </w:tcPr>
          <w:p w14:paraId="1BCEB3FA">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0.06776</w:t>
            </w:r>
          </w:p>
        </w:tc>
      </w:tr>
      <w:tr w14:paraId="5A14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58903AAE">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22</w:t>
            </w:r>
          </w:p>
        </w:tc>
        <w:tc>
          <w:tcPr>
            <w:tcW w:w="1914" w:type="dxa"/>
            <w:vAlign w:val="center"/>
          </w:tcPr>
          <w:p w14:paraId="6B956FB7">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0.06610</w:t>
            </w:r>
          </w:p>
        </w:tc>
        <w:tc>
          <w:tcPr>
            <w:tcW w:w="1914" w:type="dxa"/>
            <w:vAlign w:val="center"/>
          </w:tcPr>
          <w:p w14:paraId="0C268F0E">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0.06705</w:t>
            </w:r>
          </w:p>
        </w:tc>
        <w:tc>
          <w:tcPr>
            <w:tcW w:w="1914" w:type="dxa"/>
            <w:vAlign w:val="center"/>
          </w:tcPr>
          <w:p w14:paraId="6C0C8BF6">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0.06701</w:t>
            </w:r>
          </w:p>
        </w:tc>
        <w:tc>
          <w:tcPr>
            <w:tcW w:w="1808" w:type="dxa"/>
            <w:vAlign w:val="center"/>
          </w:tcPr>
          <w:p w14:paraId="3A4F2776">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0.06672</w:t>
            </w:r>
          </w:p>
        </w:tc>
      </w:tr>
      <w:tr w14:paraId="29F8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43D74780">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23</w:t>
            </w:r>
          </w:p>
        </w:tc>
        <w:tc>
          <w:tcPr>
            <w:tcW w:w="1914" w:type="dxa"/>
            <w:vAlign w:val="center"/>
          </w:tcPr>
          <w:p w14:paraId="21CAE371">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0.06902</w:t>
            </w:r>
          </w:p>
        </w:tc>
        <w:tc>
          <w:tcPr>
            <w:tcW w:w="1914" w:type="dxa"/>
            <w:vAlign w:val="center"/>
          </w:tcPr>
          <w:p w14:paraId="104909FA">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0.06895</w:t>
            </w:r>
          </w:p>
        </w:tc>
        <w:tc>
          <w:tcPr>
            <w:tcW w:w="1914" w:type="dxa"/>
            <w:vAlign w:val="center"/>
          </w:tcPr>
          <w:p w14:paraId="31972296">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0.06901</w:t>
            </w:r>
          </w:p>
        </w:tc>
        <w:tc>
          <w:tcPr>
            <w:tcW w:w="1808" w:type="dxa"/>
            <w:vAlign w:val="center"/>
          </w:tcPr>
          <w:p w14:paraId="41EEAA24">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0.06899</w:t>
            </w:r>
          </w:p>
        </w:tc>
      </w:tr>
      <w:tr w14:paraId="753B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5A9F664D">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24</w:t>
            </w:r>
          </w:p>
        </w:tc>
        <w:tc>
          <w:tcPr>
            <w:tcW w:w="1914" w:type="dxa"/>
            <w:vAlign w:val="center"/>
          </w:tcPr>
          <w:p w14:paraId="41E0C163">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0.06515</w:t>
            </w:r>
          </w:p>
        </w:tc>
        <w:tc>
          <w:tcPr>
            <w:tcW w:w="1914" w:type="dxa"/>
            <w:vAlign w:val="center"/>
          </w:tcPr>
          <w:p w14:paraId="56CFE7BF">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0.06423</w:t>
            </w:r>
          </w:p>
        </w:tc>
        <w:tc>
          <w:tcPr>
            <w:tcW w:w="1914" w:type="dxa"/>
            <w:vAlign w:val="center"/>
          </w:tcPr>
          <w:p w14:paraId="060E842A">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0.06614</w:t>
            </w:r>
          </w:p>
        </w:tc>
        <w:tc>
          <w:tcPr>
            <w:tcW w:w="1808" w:type="dxa"/>
            <w:vAlign w:val="center"/>
          </w:tcPr>
          <w:p w14:paraId="0E707350">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0.06517</w:t>
            </w:r>
          </w:p>
        </w:tc>
      </w:tr>
      <w:tr w14:paraId="5DF4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65F48096">
            <w:pPr>
              <w:widowControl/>
              <w:autoSpaceDE w:val="0"/>
              <w:autoSpaceDN w:val="0"/>
              <w:snapToGrid w:val="0"/>
              <w:spacing w:before="156" w:beforeLines="50" w:line="360" w:lineRule="auto"/>
              <w:jc w:val="center"/>
              <w:textAlignment w:val="top"/>
              <w:rPr>
                <w:rFonts w:ascii="Times New Roman" w:hAnsi="Times New Roman" w:eastAsia="黑体"/>
                <w:bCs/>
              </w:rPr>
            </w:pPr>
            <w:r>
              <w:rPr>
                <w:rFonts w:ascii="Times New Roman" w:hAnsi="Times New Roman"/>
              </w:rPr>
              <w:t>25</w:t>
            </w:r>
          </w:p>
        </w:tc>
        <w:tc>
          <w:tcPr>
            <w:tcW w:w="1914" w:type="dxa"/>
            <w:vAlign w:val="center"/>
          </w:tcPr>
          <w:p w14:paraId="1886B4AC">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0.06809</w:t>
            </w:r>
          </w:p>
        </w:tc>
        <w:tc>
          <w:tcPr>
            <w:tcW w:w="1914" w:type="dxa"/>
            <w:vAlign w:val="center"/>
          </w:tcPr>
          <w:p w14:paraId="5D5D80C1">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0.06996</w:t>
            </w:r>
          </w:p>
        </w:tc>
        <w:tc>
          <w:tcPr>
            <w:tcW w:w="1914" w:type="dxa"/>
            <w:vAlign w:val="center"/>
          </w:tcPr>
          <w:p w14:paraId="10B39FFB">
            <w:pPr>
              <w:widowControl/>
              <w:autoSpaceDE w:val="0"/>
              <w:autoSpaceDN w:val="0"/>
              <w:snapToGrid w:val="0"/>
              <w:spacing w:before="156" w:beforeLines="50" w:line="360" w:lineRule="auto"/>
              <w:jc w:val="center"/>
              <w:textAlignment w:val="bottom"/>
              <w:rPr>
                <w:rFonts w:ascii="Times New Roman" w:hAnsi="Times New Roman" w:eastAsia="黑体"/>
                <w:bCs/>
              </w:rPr>
            </w:pPr>
            <w:r>
              <w:rPr>
                <w:rFonts w:ascii="Times New Roman" w:hAnsi="Times New Roman"/>
              </w:rPr>
              <w:t>0.06802</w:t>
            </w:r>
          </w:p>
        </w:tc>
        <w:tc>
          <w:tcPr>
            <w:tcW w:w="1808" w:type="dxa"/>
            <w:vAlign w:val="center"/>
          </w:tcPr>
          <w:p w14:paraId="00C660DF">
            <w:pPr>
              <w:widowControl/>
              <w:autoSpaceDE w:val="0"/>
              <w:autoSpaceDN w:val="0"/>
              <w:snapToGrid w:val="0"/>
              <w:spacing w:before="156" w:beforeLines="50" w:line="360" w:lineRule="auto"/>
              <w:jc w:val="center"/>
              <w:textAlignment w:val="center"/>
              <w:rPr>
                <w:rFonts w:ascii="Times New Roman" w:hAnsi="Times New Roman" w:eastAsia="黑体"/>
                <w:bCs/>
              </w:rPr>
            </w:pPr>
            <w:r>
              <w:rPr>
                <w:rFonts w:ascii="Times New Roman" w:hAnsi="Times New Roman"/>
              </w:rPr>
              <w:t>0.06869</w:t>
            </w:r>
          </w:p>
        </w:tc>
      </w:tr>
    </w:tbl>
    <w:p w14:paraId="6E637950">
      <w:pPr>
        <w:wordWrap w:val="0"/>
        <w:spacing w:line="360" w:lineRule="auto"/>
        <w:ind w:firstLine="420"/>
        <w:rPr>
          <w:rFonts w:ascii="Times New Roman" w:hAnsi="Times New Roman"/>
        </w:rPr>
      </w:pPr>
      <w:r>
        <w:rPr>
          <w:rFonts w:ascii="Times New Roman" w:hAnsi="Times New Roman"/>
        </w:rPr>
        <w:t>经F检验、</w:t>
      </w:r>
      <w:r>
        <w:rPr>
          <w:rFonts w:ascii="Times New Roman" w:hAnsi="Times New Roman"/>
          <w:i/>
        </w:rPr>
        <w:t>U</w:t>
      </w:r>
      <w:r>
        <w:rPr>
          <w:rFonts w:ascii="Times New Roman" w:hAnsi="Times New Roman"/>
          <w:vertAlign w:val="subscript"/>
        </w:rPr>
        <w:t>bb</w:t>
      </w:r>
      <w:r>
        <w:rPr>
          <w:rFonts w:ascii="Times New Roman" w:hAnsi="Times New Roman"/>
        </w:rPr>
        <w:t>（瓶间与瓶内均匀性检验结果的相对标准偏差），表明组内与组间无明显差异</w:t>
      </w:r>
      <w:r>
        <w:rPr>
          <w:rFonts w:hint="eastAsia" w:ascii="Times New Roman" w:hAnsi="Times New Roman"/>
        </w:rPr>
        <w:t>，</w:t>
      </w:r>
      <w:r>
        <w:rPr>
          <w:rFonts w:ascii="Times New Roman" w:hAnsi="Times New Roman"/>
        </w:rPr>
        <w:t>样品是均匀的。</w:t>
      </w:r>
    </w:p>
    <w:p w14:paraId="1350DA83">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.6  稳定性</w:t>
      </w:r>
    </w:p>
    <w:p w14:paraId="440B8DDB">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.6.1 长期稳定性</w:t>
      </w:r>
    </w:p>
    <w:p w14:paraId="41C80A93">
      <w:pPr>
        <w:wordWrap w:val="0"/>
        <w:spacing w:line="360" w:lineRule="auto"/>
        <w:ind w:firstLine="420"/>
        <w:rPr>
          <w:rFonts w:ascii="Times New Roman" w:hAnsi="Times New Roman"/>
        </w:rPr>
      </w:pPr>
      <w:r>
        <w:rPr>
          <w:rFonts w:ascii="Times New Roman" w:hAnsi="Times New Roman"/>
        </w:rPr>
        <w:t>标准物质的稳定性考察按先密后疏的原则进行检测，检测方法与定值方法相同，结果如表2所示, 在-20℃，真空密封包装的储存条件下，该标准物质在6月内是稳定的，将继续监测稳定性以延长稳定期。</w:t>
      </w:r>
    </w:p>
    <w:p w14:paraId="2407EF0D">
      <w:pPr>
        <w:wordWrap w:val="0"/>
        <w:spacing w:line="360" w:lineRule="auto"/>
        <w:ind w:firstLine="422"/>
        <w:jc w:val="center"/>
        <w:rPr>
          <w:rFonts w:ascii="Times New Roman" w:hAnsi="Times New Roman" w:eastAsia="黑体"/>
          <w:bCs/>
        </w:rPr>
      </w:pPr>
      <w:r>
        <w:rPr>
          <w:rFonts w:ascii="Times New Roman" w:hAnsi="Times New Roman" w:eastAsia="黑体"/>
          <w:bCs/>
        </w:rPr>
        <w:t>表</w:t>
      </w:r>
      <w:r>
        <w:rPr>
          <w:rFonts w:hint="eastAsia" w:ascii="Times New Roman" w:hAnsi="Times New Roman" w:eastAsia="黑体"/>
          <w:bCs/>
        </w:rPr>
        <w:t>D.</w:t>
      </w:r>
      <w:r>
        <w:rPr>
          <w:rFonts w:ascii="Times New Roman" w:hAnsi="Times New Roman" w:eastAsia="黑体"/>
          <w:bCs/>
        </w:rPr>
        <w:t>2 乳粉中DHA分析标准物质长期稳定性检验结果（单位：g/100g）</w:t>
      </w:r>
    </w:p>
    <w:tbl>
      <w:tblPr>
        <w:tblStyle w:val="28"/>
        <w:tblW w:w="48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1490"/>
        <w:gridCol w:w="1490"/>
        <w:gridCol w:w="1490"/>
        <w:gridCol w:w="1490"/>
        <w:gridCol w:w="1565"/>
      </w:tblGrid>
      <w:tr w14:paraId="26B6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4BA22F75">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具体时间</w:t>
            </w:r>
          </w:p>
        </w:tc>
        <w:tc>
          <w:tcPr>
            <w:tcW w:w="802" w:type="pct"/>
            <w:vAlign w:val="center"/>
          </w:tcPr>
          <w:p w14:paraId="7DE41583">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2019年11月</w:t>
            </w:r>
          </w:p>
        </w:tc>
        <w:tc>
          <w:tcPr>
            <w:tcW w:w="802" w:type="pct"/>
            <w:vAlign w:val="center"/>
          </w:tcPr>
          <w:p w14:paraId="009BA069">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2019年12月</w:t>
            </w:r>
          </w:p>
        </w:tc>
        <w:tc>
          <w:tcPr>
            <w:tcW w:w="802" w:type="pct"/>
            <w:vAlign w:val="center"/>
          </w:tcPr>
          <w:p w14:paraId="63A6876D">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2020年1月</w:t>
            </w:r>
          </w:p>
        </w:tc>
        <w:tc>
          <w:tcPr>
            <w:tcW w:w="802" w:type="pct"/>
            <w:vAlign w:val="center"/>
          </w:tcPr>
          <w:p w14:paraId="7E729CAD">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2020年2月</w:t>
            </w:r>
          </w:p>
        </w:tc>
        <w:tc>
          <w:tcPr>
            <w:tcW w:w="838" w:type="pct"/>
            <w:vAlign w:val="center"/>
          </w:tcPr>
          <w:p w14:paraId="61942552">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2020年5月</w:t>
            </w:r>
          </w:p>
        </w:tc>
      </w:tr>
      <w:tr w14:paraId="367B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09794268">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时间（月）</w:t>
            </w:r>
          </w:p>
        </w:tc>
        <w:tc>
          <w:tcPr>
            <w:tcW w:w="802" w:type="pct"/>
            <w:vAlign w:val="center"/>
          </w:tcPr>
          <w:p w14:paraId="398E8618">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w:t>
            </w:r>
          </w:p>
        </w:tc>
        <w:tc>
          <w:tcPr>
            <w:tcW w:w="802" w:type="pct"/>
            <w:vAlign w:val="center"/>
          </w:tcPr>
          <w:p w14:paraId="2F2A3780">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1</w:t>
            </w:r>
          </w:p>
        </w:tc>
        <w:tc>
          <w:tcPr>
            <w:tcW w:w="802" w:type="pct"/>
            <w:vAlign w:val="center"/>
          </w:tcPr>
          <w:p w14:paraId="23C39525">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2</w:t>
            </w:r>
          </w:p>
        </w:tc>
        <w:tc>
          <w:tcPr>
            <w:tcW w:w="802" w:type="pct"/>
            <w:vAlign w:val="center"/>
          </w:tcPr>
          <w:p w14:paraId="6A0DC332">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4</w:t>
            </w:r>
          </w:p>
        </w:tc>
        <w:tc>
          <w:tcPr>
            <w:tcW w:w="838" w:type="pct"/>
            <w:vAlign w:val="center"/>
          </w:tcPr>
          <w:p w14:paraId="1733C090">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6</w:t>
            </w:r>
          </w:p>
        </w:tc>
      </w:tr>
      <w:tr w14:paraId="03D8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Merge w:val="restart"/>
            <w:vAlign w:val="center"/>
          </w:tcPr>
          <w:p w14:paraId="1C969982">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#1</w:t>
            </w:r>
          </w:p>
        </w:tc>
        <w:tc>
          <w:tcPr>
            <w:tcW w:w="802" w:type="pct"/>
            <w:tcBorders>
              <w:top w:val="single" w:color="auto" w:sz="8" w:space="0"/>
              <w:left w:val="single" w:color="auto" w:sz="8" w:space="0"/>
              <w:bottom w:val="single" w:color="auto" w:sz="8" w:space="0"/>
              <w:right w:val="single" w:color="auto" w:sz="8" w:space="0"/>
            </w:tcBorders>
            <w:vAlign w:val="center"/>
          </w:tcPr>
          <w:p w14:paraId="0651044B">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0.07360</w:t>
            </w:r>
          </w:p>
        </w:tc>
        <w:tc>
          <w:tcPr>
            <w:tcW w:w="802" w:type="pct"/>
            <w:tcBorders>
              <w:top w:val="single" w:color="auto" w:sz="8" w:space="0"/>
              <w:left w:val="nil"/>
              <w:bottom w:val="single" w:color="auto" w:sz="8" w:space="0"/>
              <w:right w:val="single" w:color="auto" w:sz="8" w:space="0"/>
            </w:tcBorders>
            <w:vAlign w:val="center"/>
          </w:tcPr>
          <w:p w14:paraId="717287EE">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0.07095</w:t>
            </w:r>
          </w:p>
        </w:tc>
        <w:tc>
          <w:tcPr>
            <w:tcW w:w="802" w:type="pct"/>
            <w:tcBorders>
              <w:top w:val="single" w:color="auto" w:sz="8" w:space="0"/>
              <w:left w:val="nil"/>
              <w:bottom w:val="single" w:color="auto" w:sz="8" w:space="0"/>
              <w:right w:val="single" w:color="auto" w:sz="8" w:space="0"/>
            </w:tcBorders>
            <w:vAlign w:val="center"/>
          </w:tcPr>
          <w:p w14:paraId="53081B64">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0.06809</w:t>
            </w:r>
          </w:p>
        </w:tc>
        <w:tc>
          <w:tcPr>
            <w:tcW w:w="802" w:type="pct"/>
            <w:tcBorders>
              <w:top w:val="single" w:color="auto" w:sz="8" w:space="0"/>
              <w:left w:val="nil"/>
              <w:bottom w:val="single" w:color="auto" w:sz="8" w:space="0"/>
              <w:right w:val="single" w:color="auto" w:sz="8" w:space="0"/>
            </w:tcBorders>
            <w:vAlign w:val="center"/>
          </w:tcPr>
          <w:p w14:paraId="265D73CD">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0.06447</w:t>
            </w:r>
          </w:p>
        </w:tc>
        <w:tc>
          <w:tcPr>
            <w:tcW w:w="838" w:type="pct"/>
            <w:tcBorders>
              <w:top w:val="single" w:color="auto" w:sz="8" w:space="0"/>
              <w:left w:val="nil"/>
              <w:bottom w:val="single" w:color="auto" w:sz="8" w:space="0"/>
              <w:right w:val="single" w:color="auto" w:sz="8" w:space="0"/>
            </w:tcBorders>
            <w:vAlign w:val="center"/>
          </w:tcPr>
          <w:p w14:paraId="331A5306">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0.06826</w:t>
            </w:r>
          </w:p>
        </w:tc>
      </w:tr>
      <w:tr w14:paraId="58F3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Merge w:val="continue"/>
            <w:vAlign w:val="center"/>
          </w:tcPr>
          <w:p w14:paraId="0D88FB41">
            <w:pPr>
              <w:widowControl/>
              <w:autoSpaceDE w:val="0"/>
              <w:autoSpaceDN w:val="0"/>
              <w:snapToGrid w:val="0"/>
              <w:spacing w:before="78" w:beforeLines="25" w:line="360" w:lineRule="auto"/>
              <w:jc w:val="center"/>
              <w:textAlignment w:val="top"/>
              <w:rPr>
                <w:rFonts w:ascii="Times New Roman" w:hAnsi="Times New Roman"/>
              </w:rPr>
            </w:pPr>
          </w:p>
        </w:tc>
        <w:tc>
          <w:tcPr>
            <w:tcW w:w="802" w:type="pct"/>
            <w:tcBorders>
              <w:top w:val="nil"/>
              <w:left w:val="single" w:color="auto" w:sz="8" w:space="0"/>
              <w:bottom w:val="single" w:color="auto" w:sz="8" w:space="0"/>
              <w:right w:val="single" w:color="auto" w:sz="8" w:space="0"/>
            </w:tcBorders>
            <w:vAlign w:val="center"/>
          </w:tcPr>
          <w:p w14:paraId="73452076">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0.07304</w:t>
            </w:r>
          </w:p>
        </w:tc>
        <w:tc>
          <w:tcPr>
            <w:tcW w:w="802" w:type="pct"/>
            <w:tcBorders>
              <w:top w:val="nil"/>
              <w:left w:val="nil"/>
              <w:bottom w:val="single" w:color="auto" w:sz="8" w:space="0"/>
              <w:right w:val="single" w:color="auto" w:sz="8" w:space="0"/>
            </w:tcBorders>
            <w:vAlign w:val="center"/>
          </w:tcPr>
          <w:p w14:paraId="2CCE70B8">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0.06894</w:t>
            </w:r>
          </w:p>
        </w:tc>
        <w:tc>
          <w:tcPr>
            <w:tcW w:w="802" w:type="pct"/>
            <w:tcBorders>
              <w:top w:val="nil"/>
              <w:left w:val="nil"/>
              <w:bottom w:val="single" w:color="auto" w:sz="8" w:space="0"/>
              <w:right w:val="single" w:color="auto" w:sz="8" w:space="0"/>
            </w:tcBorders>
            <w:vAlign w:val="center"/>
          </w:tcPr>
          <w:p w14:paraId="1E02E1C7">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0.06534</w:t>
            </w:r>
          </w:p>
        </w:tc>
        <w:tc>
          <w:tcPr>
            <w:tcW w:w="802" w:type="pct"/>
            <w:tcBorders>
              <w:top w:val="nil"/>
              <w:left w:val="nil"/>
              <w:bottom w:val="single" w:color="auto" w:sz="8" w:space="0"/>
              <w:right w:val="single" w:color="auto" w:sz="8" w:space="0"/>
            </w:tcBorders>
            <w:vAlign w:val="center"/>
          </w:tcPr>
          <w:p w14:paraId="027A5A15">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0.06526</w:t>
            </w:r>
          </w:p>
        </w:tc>
        <w:tc>
          <w:tcPr>
            <w:tcW w:w="838" w:type="pct"/>
            <w:tcBorders>
              <w:top w:val="nil"/>
              <w:left w:val="nil"/>
              <w:bottom w:val="single" w:color="auto" w:sz="8" w:space="0"/>
              <w:right w:val="single" w:color="auto" w:sz="8" w:space="0"/>
            </w:tcBorders>
            <w:vAlign w:val="center"/>
          </w:tcPr>
          <w:p w14:paraId="527E426C">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0.06890</w:t>
            </w:r>
          </w:p>
        </w:tc>
      </w:tr>
      <w:tr w14:paraId="4F79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Merge w:val="continue"/>
            <w:vAlign w:val="center"/>
          </w:tcPr>
          <w:p w14:paraId="59B7B55A">
            <w:pPr>
              <w:widowControl/>
              <w:autoSpaceDE w:val="0"/>
              <w:autoSpaceDN w:val="0"/>
              <w:snapToGrid w:val="0"/>
              <w:spacing w:before="78" w:beforeLines="25" w:line="360" w:lineRule="auto"/>
              <w:jc w:val="center"/>
              <w:textAlignment w:val="top"/>
              <w:rPr>
                <w:rFonts w:ascii="Times New Roman" w:hAnsi="Times New Roman"/>
              </w:rPr>
            </w:pPr>
          </w:p>
        </w:tc>
        <w:tc>
          <w:tcPr>
            <w:tcW w:w="802" w:type="pct"/>
            <w:tcBorders>
              <w:top w:val="nil"/>
              <w:left w:val="single" w:color="auto" w:sz="8" w:space="0"/>
              <w:bottom w:val="single" w:color="auto" w:sz="8" w:space="0"/>
              <w:right w:val="single" w:color="auto" w:sz="8" w:space="0"/>
            </w:tcBorders>
            <w:vAlign w:val="center"/>
          </w:tcPr>
          <w:p w14:paraId="3E07A6AE">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0.07532</w:t>
            </w:r>
          </w:p>
        </w:tc>
        <w:tc>
          <w:tcPr>
            <w:tcW w:w="802" w:type="pct"/>
            <w:tcBorders>
              <w:top w:val="nil"/>
              <w:left w:val="nil"/>
              <w:bottom w:val="single" w:color="auto" w:sz="8" w:space="0"/>
              <w:right w:val="single" w:color="auto" w:sz="8" w:space="0"/>
            </w:tcBorders>
            <w:vAlign w:val="center"/>
          </w:tcPr>
          <w:p w14:paraId="3D736BBF">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0.06714</w:t>
            </w:r>
          </w:p>
        </w:tc>
        <w:tc>
          <w:tcPr>
            <w:tcW w:w="802" w:type="pct"/>
            <w:tcBorders>
              <w:top w:val="nil"/>
              <w:left w:val="nil"/>
              <w:bottom w:val="single" w:color="auto" w:sz="8" w:space="0"/>
              <w:right w:val="single" w:color="auto" w:sz="8" w:space="0"/>
            </w:tcBorders>
            <w:vAlign w:val="center"/>
          </w:tcPr>
          <w:p w14:paraId="48785E23">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0.06943</w:t>
            </w:r>
          </w:p>
        </w:tc>
        <w:tc>
          <w:tcPr>
            <w:tcW w:w="802" w:type="pct"/>
            <w:tcBorders>
              <w:top w:val="nil"/>
              <w:left w:val="nil"/>
              <w:bottom w:val="single" w:color="auto" w:sz="8" w:space="0"/>
              <w:right w:val="single" w:color="auto" w:sz="8" w:space="0"/>
            </w:tcBorders>
            <w:vAlign w:val="center"/>
          </w:tcPr>
          <w:p w14:paraId="5079CF6A">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0.06590</w:t>
            </w:r>
          </w:p>
        </w:tc>
        <w:tc>
          <w:tcPr>
            <w:tcW w:w="838" w:type="pct"/>
            <w:tcBorders>
              <w:top w:val="nil"/>
              <w:left w:val="nil"/>
              <w:bottom w:val="single" w:color="auto" w:sz="8" w:space="0"/>
              <w:right w:val="single" w:color="auto" w:sz="8" w:space="0"/>
            </w:tcBorders>
            <w:vAlign w:val="center"/>
          </w:tcPr>
          <w:p w14:paraId="671E7049">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0.06809</w:t>
            </w:r>
          </w:p>
        </w:tc>
      </w:tr>
      <w:tr w14:paraId="5AD7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Merge w:val="restart"/>
            <w:vAlign w:val="center"/>
          </w:tcPr>
          <w:p w14:paraId="42E9A267">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#2</w:t>
            </w:r>
          </w:p>
        </w:tc>
        <w:tc>
          <w:tcPr>
            <w:tcW w:w="802" w:type="pct"/>
            <w:tcBorders>
              <w:top w:val="nil"/>
              <w:left w:val="single" w:color="auto" w:sz="8" w:space="0"/>
              <w:bottom w:val="single" w:color="auto" w:sz="8" w:space="0"/>
              <w:right w:val="single" w:color="auto" w:sz="8" w:space="0"/>
            </w:tcBorders>
            <w:vAlign w:val="center"/>
          </w:tcPr>
          <w:p w14:paraId="227C44CC">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0.06839</w:t>
            </w:r>
          </w:p>
        </w:tc>
        <w:tc>
          <w:tcPr>
            <w:tcW w:w="802" w:type="pct"/>
            <w:tcBorders>
              <w:top w:val="nil"/>
              <w:left w:val="nil"/>
              <w:bottom w:val="single" w:color="auto" w:sz="8" w:space="0"/>
              <w:right w:val="single" w:color="auto" w:sz="8" w:space="0"/>
            </w:tcBorders>
            <w:vAlign w:val="center"/>
          </w:tcPr>
          <w:p w14:paraId="7C7F4B85">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0.06809</w:t>
            </w:r>
          </w:p>
        </w:tc>
        <w:tc>
          <w:tcPr>
            <w:tcW w:w="802" w:type="pct"/>
            <w:tcBorders>
              <w:top w:val="nil"/>
              <w:left w:val="nil"/>
              <w:bottom w:val="single" w:color="auto" w:sz="8" w:space="0"/>
              <w:right w:val="single" w:color="auto" w:sz="8" w:space="0"/>
            </w:tcBorders>
            <w:vAlign w:val="center"/>
          </w:tcPr>
          <w:p w14:paraId="09B2149F">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0.07081</w:t>
            </w:r>
          </w:p>
        </w:tc>
        <w:tc>
          <w:tcPr>
            <w:tcW w:w="802" w:type="pct"/>
            <w:tcBorders>
              <w:top w:val="nil"/>
              <w:left w:val="nil"/>
              <w:bottom w:val="single" w:color="auto" w:sz="8" w:space="0"/>
              <w:right w:val="single" w:color="auto" w:sz="8" w:space="0"/>
            </w:tcBorders>
            <w:vAlign w:val="center"/>
          </w:tcPr>
          <w:p w14:paraId="72B3603C">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0.06845</w:t>
            </w:r>
          </w:p>
        </w:tc>
        <w:tc>
          <w:tcPr>
            <w:tcW w:w="838" w:type="pct"/>
            <w:tcBorders>
              <w:top w:val="nil"/>
              <w:left w:val="nil"/>
              <w:bottom w:val="single" w:color="auto" w:sz="8" w:space="0"/>
              <w:right w:val="single" w:color="auto" w:sz="8" w:space="0"/>
            </w:tcBorders>
            <w:vAlign w:val="center"/>
          </w:tcPr>
          <w:p w14:paraId="49570403">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0.06773</w:t>
            </w:r>
          </w:p>
        </w:tc>
      </w:tr>
      <w:tr w14:paraId="7EC9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Merge w:val="continue"/>
            <w:vAlign w:val="center"/>
          </w:tcPr>
          <w:p w14:paraId="2BA11B94">
            <w:pPr>
              <w:widowControl/>
              <w:autoSpaceDE w:val="0"/>
              <w:autoSpaceDN w:val="0"/>
              <w:snapToGrid w:val="0"/>
              <w:spacing w:before="78" w:beforeLines="25" w:line="360" w:lineRule="auto"/>
              <w:jc w:val="center"/>
              <w:textAlignment w:val="top"/>
              <w:rPr>
                <w:rFonts w:ascii="Times New Roman" w:hAnsi="Times New Roman"/>
              </w:rPr>
            </w:pPr>
          </w:p>
        </w:tc>
        <w:tc>
          <w:tcPr>
            <w:tcW w:w="802" w:type="pct"/>
            <w:tcBorders>
              <w:top w:val="nil"/>
              <w:left w:val="single" w:color="auto" w:sz="8" w:space="0"/>
              <w:bottom w:val="single" w:color="auto" w:sz="8" w:space="0"/>
              <w:right w:val="single" w:color="auto" w:sz="8" w:space="0"/>
            </w:tcBorders>
            <w:vAlign w:val="center"/>
          </w:tcPr>
          <w:p w14:paraId="409BE9A2">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0.06966</w:t>
            </w:r>
          </w:p>
        </w:tc>
        <w:tc>
          <w:tcPr>
            <w:tcW w:w="802" w:type="pct"/>
            <w:tcBorders>
              <w:top w:val="nil"/>
              <w:left w:val="nil"/>
              <w:bottom w:val="single" w:color="auto" w:sz="8" w:space="0"/>
              <w:right w:val="single" w:color="auto" w:sz="8" w:space="0"/>
            </w:tcBorders>
            <w:vAlign w:val="center"/>
          </w:tcPr>
          <w:p w14:paraId="5C7FA65C">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0.06892</w:t>
            </w:r>
          </w:p>
        </w:tc>
        <w:tc>
          <w:tcPr>
            <w:tcW w:w="802" w:type="pct"/>
            <w:tcBorders>
              <w:top w:val="nil"/>
              <w:left w:val="nil"/>
              <w:bottom w:val="single" w:color="auto" w:sz="8" w:space="0"/>
              <w:right w:val="single" w:color="auto" w:sz="8" w:space="0"/>
            </w:tcBorders>
            <w:vAlign w:val="center"/>
          </w:tcPr>
          <w:p w14:paraId="63B2C3F1">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0.07460</w:t>
            </w:r>
          </w:p>
        </w:tc>
        <w:tc>
          <w:tcPr>
            <w:tcW w:w="802" w:type="pct"/>
            <w:tcBorders>
              <w:top w:val="nil"/>
              <w:left w:val="nil"/>
              <w:bottom w:val="single" w:color="auto" w:sz="8" w:space="0"/>
              <w:right w:val="single" w:color="auto" w:sz="8" w:space="0"/>
            </w:tcBorders>
            <w:vAlign w:val="center"/>
          </w:tcPr>
          <w:p w14:paraId="6150A153">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0.06520</w:t>
            </w:r>
          </w:p>
        </w:tc>
        <w:tc>
          <w:tcPr>
            <w:tcW w:w="838" w:type="pct"/>
            <w:tcBorders>
              <w:top w:val="nil"/>
              <w:left w:val="nil"/>
              <w:bottom w:val="single" w:color="auto" w:sz="8" w:space="0"/>
              <w:right w:val="single" w:color="auto" w:sz="8" w:space="0"/>
            </w:tcBorders>
            <w:vAlign w:val="center"/>
          </w:tcPr>
          <w:p w14:paraId="057E4193">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0.06813</w:t>
            </w:r>
          </w:p>
        </w:tc>
      </w:tr>
      <w:tr w14:paraId="1129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Merge w:val="continue"/>
            <w:vAlign w:val="center"/>
          </w:tcPr>
          <w:p w14:paraId="545CE19C">
            <w:pPr>
              <w:widowControl/>
              <w:autoSpaceDE w:val="0"/>
              <w:autoSpaceDN w:val="0"/>
              <w:snapToGrid w:val="0"/>
              <w:spacing w:before="78" w:beforeLines="25" w:line="360" w:lineRule="auto"/>
              <w:jc w:val="center"/>
              <w:textAlignment w:val="top"/>
              <w:rPr>
                <w:rFonts w:ascii="Times New Roman" w:hAnsi="Times New Roman"/>
              </w:rPr>
            </w:pPr>
          </w:p>
        </w:tc>
        <w:tc>
          <w:tcPr>
            <w:tcW w:w="802" w:type="pct"/>
            <w:tcBorders>
              <w:top w:val="nil"/>
              <w:left w:val="single" w:color="auto" w:sz="8" w:space="0"/>
              <w:bottom w:val="single" w:color="auto" w:sz="8" w:space="0"/>
              <w:right w:val="single" w:color="auto" w:sz="8" w:space="0"/>
            </w:tcBorders>
            <w:vAlign w:val="center"/>
          </w:tcPr>
          <w:p w14:paraId="604410CD">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0.06895</w:t>
            </w:r>
          </w:p>
        </w:tc>
        <w:tc>
          <w:tcPr>
            <w:tcW w:w="802" w:type="pct"/>
            <w:tcBorders>
              <w:top w:val="nil"/>
              <w:left w:val="nil"/>
              <w:bottom w:val="single" w:color="auto" w:sz="8" w:space="0"/>
              <w:right w:val="single" w:color="auto" w:sz="8" w:space="0"/>
            </w:tcBorders>
            <w:vAlign w:val="center"/>
          </w:tcPr>
          <w:p w14:paraId="4A78820D">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0.06712</w:t>
            </w:r>
          </w:p>
        </w:tc>
        <w:tc>
          <w:tcPr>
            <w:tcW w:w="802" w:type="pct"/>
            <w:tcBorders>
              <w:top w:val="nil"/>
              <w:left w:val="nil"/>
              <w:bottom w:val="single" w:color="auto" w:sz="8" w:space="0"/>
              <w:right w:val="single" w:color="auto" w:sz="8" w:space="0"/>
            </w:tcBorders>
            <w:vAlign w:val="center"/>
          </w:tcPr>
          <w:p w14:paraId="3C4CAA3A">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0.07007</w:t>
            </w:r>
          </w:p>
        </w:tc>
        <w:tc>
          <w:tcPr>
            <w:tcW w:w="802" w:type="pct"/>
            <w:tcBorders>
              <w:top w:val="nil"/>
              <w:left w:val="nil"/>
              <w:bottom w:val="single" w:color="auto" w:sz="8" w:space="0"/>
              <w:right w:val="single" w:color="auto" w:sz="8" w:space="0"/>
            </w:tcBorders>
            <w:vAlign w:val="center"/>
          </w:tcPr>
          <w:p w14:paraId="640F6C38">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0.06747</w:t>
            </w:r>
          </w:p>
        </w:tc>
        <w:tc>
          <w:tcPr>
            <w:tcW w:w="838" w:type="pct"/>
            <w:tcBorders>
              <w:top w:val="nil"/>
              <w:left w:val="nil"/>
              <w:bottom w:val="single" w:color="auto" w:sz="8" w:space="0"/>
              <w:right w:val="single" w:color="auto" w:sz="8" w:space="0"/>
            </w:tcBorders>
            <w:vAlign w:val="center"/>
          </w:tcPr>
          <w:p w14:paraId="13EC668A">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0.06906</w:t>
            </w:r>
          </w:p>
        </w:tc>
      </w:tr>
      <w:tr w14:paraId="7F9B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078E419E">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平均值</w:t>
            </w:r>
          </w:p>
        </w:tc>
        <w:tc>
          <w:tcPr>
            <w:tcW w:w="802" w:type="pct"/>
            <w:tcBorders>
              <w:top w:val="single" w:color="auto" w:sz="4" w:space="0"/>
              <w:left w:val="single" w:color="auto" w:sz="4" w:space="0"/>
              <w:bottom w:val="single" w:color="auto" w:sz="4" w:space="0"/>
              <w:right w:val="single" w:color="auto" w:sz="4" w:space="0"/>
            </w:tcBorders>
            <w:vAlign w:val="center"/>
          </w:tcPr>
          <w:p w14:paraId="1E0318F9">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0.07149</w:t>
            </w:r>
          </w:p>
        </w:tc>
        <w:tc>
          <w:tcPr>
            <w:tcW w:w="802" w:type="pct"/>
            <w:tcBorders>
              <w:top w:val="single" w:color="auto" w:sz="4" w:space="0"/>
              <w:left w:val="nil"/>
              <w:bottom w:val="single" w:color="auto" w:sz="4" w:space="0"/>
              <w:right w:val="single" w:color="auto" w:sz="4" w:space="0"/>
            </w:tcBorders>
            <w:vAlign w:val="center"/>
          </w:tcPr>
          <w:p w14:paraId="50231BFF">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0.06853</w:t>
            </w:r>
          </w:p>
        </w:tc>
        <w:tc>
          <w:tcPr>
            <w:tcW w:w="802" w:type="pct"/>
            <w:tcBorders>
              <w:top w:val="single" w:color="auto" w:sz="4" w:space="0"/>
              <w:left w:val="nil"/>
              <w:bottom w:val="single" w:color="auto" w:sz="4" w:space="0"/>
              <w:right w:val="single" w:color="auto" w:sz="4" w:space="0"/>
            </w:tcBorders>
            <w:vAlign w:val="center"/>
          </w:tcPr>
          <w:p w14:paraId="1943B280">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0.06972</w:t>
            </w:r>
          </w:p>
        </w:tc>
        <w:tc>
          <w:tcPr>
            <w:tcW w:w="802" w:type="pct"/>
            <w:tcBorders>
              <w:top w:val="single" w:color="auto" w:sz="4" w:space="0"/>
              <w:left w:val="nil"/>
              <w:bottom w:val="single" w:color="auto" w:sz="4" w:space="0"/>
              <w:right w:val="single" w:color="auto" w:sz="4" w:space="0"/>
            </w:tcBorders>
            <w:vAlign w:val="center"/>
          </w:tcPr>
          <w:p w14:paraId="66B58355">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0.06612</w:t>
            </w:r>
          </w:p>
        </w:tc>
        <w:tc>
          <w:tcPr>
            <w:tcW w:w="838" w:type="pct"/>
            <w:tcBorders>
              <w:top w:val="single" w:color="auto" w:sz="4" w:space="0"/>
              <w:left w:val="nil"/>
              <w:bottom w:val="single" w:color="auto" w:sz="4" w:space="0"/>
              <w:right w:val="single" w:color="auto" w:sz="4" w:space="0"/>
            </w:tcBorders>
            <w:vAlign w:val="center"/>
          </w:tcPr>
          <w:p w14:paraId="617D50C8">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0.06836</w:t>
            </w:r>
          </w:p>
        </w:tc>
      </w:tr>
      <w:tr w14:paraId="39E8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63935765">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标准偏差s</w:t>
            </w:r>
          </w:p>
        </w:tc>
        <w:tc>
          <w:tcPr>
            <w:tcW w:w="802" w:type="pct"/>
            <w:tcBorders>
              <w:top w:val="nil"/>
              <w:left w:val="single" w:color="auto" w:sz="4" w:space="0"/>
              <w:bottom w:val="single" w:color="auto" w:sz="4" w:space="0"/>
              <w:right w:val="single" w:color="auto" w:sz="4" w:space="0"/>
            </w:tcBorders>
            <w:vAlign w:val="center"/>
          </w:tcPr>
          <w:p w14:paraId="16F6E592">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0.0029</w:t>
            </w:r>
          </w:p>
        </w:tc>
        <w:tc>
          <w:tcPr>
            <w:tcW w:w="802" w:type="pct"/>
            <w:tcBorders>
              <w:top w:val="nil"/>
              <w:left w:val="nil"/>
              <w:bottom w:val="single" w:color="auto" w:sz="4" w:space="0"/>
              <w:right w:val="single" w:color="auto" w:sz="4" w:space="0"/>
            </w:tcBorders>
            <w:vAlign w:val="center"/>
          </w:tcPr>
          <w:p w14:paraId="03F0D6A4">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0.0014</w:t>
            </w:r>
          </w:p>
        </w:tc>
        <w:tc>
          <w:tcPr>
            <w:tcW w:w="802" w:type="pct"/>
            <w:tcBorders>
              <w:top w:val="nil"/>
              <w:left w:val="nil"/>
              <w:bottom w:val="single" w:color="auto" w:sz="4" w:space="0"/>
              <w:right w:val="single" w:color="auto" w:sz="4" w:space="0"/>
            </w:tcBorders>
            <w:vAlign w:val="center"/>
          </w:tcPr>
          <w:p w14:paraId="2DCAA99B">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0.0031</w:t>
            </w:r>
          </w:p>
        </w:tc>
        <w:tc>
          <w:tcPr>
            <w:tcW w:w="802" w:type="pct"/>
            <w:tcBorders>
              <w:top w:val="nil"/>
              <w:left w:val="nil"/>
              <w:bottom w:val="single" w:color="auto" w:sz="4" w:space="0"/>
              <w:right w:val="single" w:color="auto" w:sz="4" w:space="0"/>
            </w:tcBorders>
            <w:vAlign w:val="center"/>
          </w:tcPr>
          <w:p w14:paraId="4EF7F55E">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0.0015</w:t>
            </w:r>
          </w:p>
        </w:tc>
        <w:tc>
          <w:tcPr>
            <w:tcW w:w="838" w:type="pct"/>
            <w:tcBorders>
              <w:top w:val="nil"/>
              <w:left w:val="nil"/>
              <w:bottom w:val="single" w:color="auto" w:sz="4" w:space="0"/>
              <w:right w:val="single" w:color="auto" w:sz="4" w:space="0"/>
            </w:tcBorders>
            <w:vAlign w:val="center"/>
          </w:tcPr>
          <w:p w14:paraId="06CE3F0E">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0.0005</w:t>
            </w:r>
          </w:p>
        </w:tc>
      </w:tr>
      <w:tr w14:paraId="22A8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54D675B1">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β1</w:t>
            </w:r>
          </w:p>
        </w:tc>
        <w:tc>
          <w:tcPr>
            <w:tcW w:w="4050" w:type="pct"/>
            <w:gridSpan w:val="5"/>
            <w:tcBorders>
              <w:top w:val="single" w:color="auto" w:sz="4" w:space="0"/>
              <w:left w:val="single" w:color="auto" w:sz="4" w:space="0"/>
              <w:bottom w:val="single" w:color="auto" w:sz="4" w:space="0"/>
              <w:right w:val="single" w:color="auto" w:sz="4" w:space="0"/>
            </w:tcBorders>
            <w:vAlign w:val="center"/>
          </w:tcPr>
          <w:p w14:paraId="195AA76A">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-0.0005</w:t>
            </w:r>
          </w:p>
        </w:tc>
      </w:tr>
      <w:tr w14:paraId="1781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6658E98B">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β0</w:t>
            </w:r>
          </w:p>
        </w:tc>
        <w:tc>
          <w:tcPr>
            <w:tcW w:w="4050" w:type="pct"/>
            <w:gridSpan w:val="5"/>
            <w:tcBorders>
              <w:top w:val="single" w:color="auto" w:sz="4" w:space="0"/>
              <w:left w:val="single" w:color="auto" w:sz="4" w:space="0"/>
              <w:bottom w:val="single" w:color="auto" w:sz="4" w:space="0"/>
              <w:right w:val="single" w:color="auto" w:sz="4" w:space="0"/>
            </w:tcBorders>
            <w:vAlign w:val="center"/>
          </w:tcPr>
          <w:p w14:paraId="24F2D364">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0.0699</w:t>
            </w:r>
          </w:p>
        </w:tc>
      </w:tr>
      <w:tr w14:paraId="0350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4E07C79D">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s2</w:t>
            </w:r>
          </w:p>
        </w:tc>
        <w:tc>
          <w:tcPr>
            <w:tcW w:w="4050" w:type="pct"/>
            <w:gridSpan w:val="5"/>
            <w:tcBorders>
              <w:top w:val="single" w:color="auto" w:sz="4" w:space="0"/>
              <w:left w:val="single" w:color="auto" w:sz="4" w:space="0"/>
              <w:bottom w:val="single" w:color="auto" w:sz="4" w:space="0"/>
              <w:right w:val="single" w:color="auto" w:sz="4" w:space="0"/>
            </w:tcBorders>
            <w:vAlign w:val="center"/>
          </w:tcPr>
          <w:p w14:paraId="53718503">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0.0000038</w:t>
            </w:r>
          </w:p>
        </w:tc>
      </w:tr>
      <w:tr w14:paraId="75B5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295A1386">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s(β1)</w:t>
            </w:r>
          </w:p>
        </w:tc>
        <w:tc>
          <w:tcPr>
            <w:tcW w:w="4050" w:type="pct"/>
            <w:gridSpan w:val="5"/>
            <w:tcBorders>
              <w:top w:val="single" w:color="auto" w:sz="4" w:space="0"/>
              <w:left w:val="single" w:color="auto" w:sz="4" w:space="0"/>
              <w:bottom w:val="single" w:color="auto" w:sz="4" w:space="0"/>
              <w:right w:val="single" w:color="auto" w:sz="4" w:space="0"/>
            </w:tcBorders>
            <w:vAlign w:val="center"/>
          </w:tcPr>
          <w:p w14:paraId="0F15975F">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0.00042</w:t>
            </w:r>
          </w:p>
        </w:tc>
      </w:tr>
      <w:tr w14:paraId="4CBB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3D47D21C">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t</w:t>
            </w:r>
            <w:r>
              <w:rPr>
                <w:rFonts w:ascii="Times New Roman" w:hAnsi="Times New Roman"/>
                <w:vertAlign w:val="subscript"/>
              </w:rPr>
              <w:t>0.95</w:t>
            </w:r>
            <w:r>
              <w:rPr>
                <w:rFonts w:ascii="Times New Roman" w:hAnsi="Times New Roman"/>
              </w:rPr>
              <w:t>，3 ·s(β1)</w:t>
            </w:r>
          </w:p>
        </w:tc>
        <w:tc>
          <w:tcPr>
            <w:tcW w:w="4050" w:type="pct"/>
            <w:gridSpan w:val="5"/>
            <w:vAlign w:val="center"/>
          </w:tcPr>
          <w:p w14:paraId="658F9247">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0.00134</w:t>
            </w:r>
          </w:p>
        </w:tc>
      </w:tr>
      <w:tr w14:paraId="0540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9" w:type="pct"/>
            <w:vAlign w:val="center"/>
          </w:tcPr>
          <w:p w14:paraId="41F2A7E3">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结论</w:t>
            </w:r>
          </w:p>
        </w:tc>
        <w:tc>
          <w:tcPr>
            <w:tcW w:w="4050" w:type="pct"/>
            <w:gridSpan w:val="5"/>
            <w:vAlign w:val="center"/>
          </w:tcPr>
          <w:p w14:paraId="2905A1F1">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|β1|&lt; t</w:t>
            </w:r>
            <w:r>
              <w:rPr>
                <w:rFonts w:ascii="Times New Roman" w:hAnsi="Times New Roman"/>
                <w:vertAlign w:val="subscript"/>
              </w:rPr>
              <w:t>0.95</w:t>
            </w:r>
            <w:r>
              <w:rPr>
                <w:rFonts w:ascii="Times New Roman" w:hAnsi="Times New Roman"/>
              </w:rPr>
              <w:t>,3·s(β1)，稳定</w:t>
            </w:r>
          </w:p>
        </w:tc>
      </w:tr>
    </w:tbl>
    <w:p w14:paraId="44B0B36F">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.6.2 短期稳定性</w:t>
      </w:r>
    </w:p>
    <w:p w14:paraId="321164D5">
      <w:pPr>
        <w:wordWrap w:val="0"/>
        <w:spacing w:line="360" w:lineRule="auto"/>
        <w:ind w:firstLine="420"/>
        <w:rPr>
          <w:rFonts w:ascii="Times New Roman" w:hAnsi="Times New Roman"/>
        </w:rPr>
      </w:pPr>
      <w:r>
        <w:rPr>
          <w:rFonts w:ascii="Times New Roman" w:hAnsi="Times New Roman"/>
        </w:rPr>
        <w:t>模拟运输条件下对样品进行稳定性监测，测定方法与定值方法相同，结果如表3所示</w:t>
      </w:r>
      <w:r>
        <w:rPr>
          <w:rFonts w:hint="eastAsia" w:ascii="Times New Roman" w:hAnsi="Times New Roman"/>
        </w:rPr>
        <w:t>，</w:t>
      </w:r>
      <w:r>
        <w:rPr>
          <w:rFonts w:ascii="Times New Roman" w:hAnsi="Times New Roman"/>
        </w:rPr>
        <w:t>4℃（冰箱）和50℃（恒温干燥箱）条件下乳粉中DHA量值可保持7天无明显变化。</w:t>
      </w:r>
    </w:p>
    <w:p w14:paraId="7940232F">
      <w:pPr>
        <w:wordWrap w:val="0"/>
        <w:spacing w:line="360" w:lineRule="auto"/>
        <w:ind w:firstLine="422"/>
        <w:jc w:val="center"/>
        <w:rPr>
          <w:rFonts w:ascii="Times New Roman" w:hAnsi="Times New Roman" w:eastAsia="黑体"/>
          <w:bCs/>
        </w:rPr>
      </w:pPr>
      <w:r>
        <w:rPr>
          <w:rFonts w:ascii="Times New Roman" w:hAnsi="Times New Roman" w:eastAsia="黑体"/>
          <w:bCs/>
        </w:rPr>
        <w:t>表</w:t>
      </w:r>
      <w:r>
        <w:rPr>
          <w:rFonts w:hint="eastAsia" w:ascii="Times New Roman" w:hAnsi="Times New Roman" w:eastAsia="黑体"/>
          <w:bCs/>
        </w:rPr>
        <w:t>D.</w:t>
      </w:r>
      <w:r>
        <w:rPr>
          <w:rFonts w:ascii="Times New Roman" w:hAnsi="Times New Roman" w:eastAsia="黑体"/>
          <w:bCs/>
        </w:rPr>
        <w:t>3 乳粉中DHA成分分析标准物质短期稳定性检验结果（单位：g/100g）</w:t>
      </w:r>
    </w:p>
    <w:tbl>
      <w:tblPr>
        <w:tblStyle w:val="28"/>
        <w:tblW w:w="4966" w:type="pct"/>
        <w:jc w:val="center"/>
        <w:tblLayout w:type="autofit"/>
        <w:tblCellMar>
          <w:top w:w="15" w:type="dxa"/>
          <w:left w:w="15" w:type="dxa"/>
          <w:bottom w:w="15" w:type="dxa"/>
          <w:right w:w="15" w:type="dxa"/>
        </w:tblCellMar>
      </w:tblPr>
      <w:tblGrid>
        <w:gridCol w:w="3104"/>
        <w:gridCol w:w="3107"/>
        <w:gridCol w:w="3109"/>
      </w:tblGrid>
      <w:tr w14:paraId="66D7BCC2">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760DEFE9">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时间（天）</w:t>
            </w:r>
          </w:p>
        </w:tc>
        <w:tc>
          <w:tcPr>
            <w:tcW w:w="1666" w:type="pct"/>
            <w:tcBorders>
              <w:top w:val="single" w:color="000000" w:sz="4" w:space="0"/>
              <w:left w:val="single" w:color="000000" w:sz="4" w:space="0"/>
              <w:bottom w:val="single" w:color="000000" w:sz="4" w:space="0"/>
              <w:right w:val="single" w:color="000000" w:sz="4" w:space="0"/>
            </w:tcBorders>
            <w:vAlign w:val="center"/>
          </w:tcPr>
          <w:p w14:paraId="395E9EFE">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检验结果（4℃）</w:t>
            </w:r>
          </w:p>
        </w:tc>
        <w:tc>
          <w:tcPr>
            <w:tcW w:w="1667" w:type="pct"/>
            <w:tcBorders>
              <w:top w:val="single" w:color="000000" w:sz="4" w:space="0"/>
              <w:left w:val="single" w:color="000000" w:sz="4" w:space="0"/>
              <w:bottom w:val="single" w:color="000000" w:sz="4" w:space="0"/>
              <w:right w:val="single" w:color="000000" w:sz="4" w:space="0"/>
            </w:tcBorders>
            <w:vAlign w:val="center"/>
          </w:tcPr>
          <w:p w14:paraId="1AAD851C">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检验结果（50℃）</w:t>
            </w:r>
          </w:p>
        </w:tc>
      </w:tr>
      <w:tr w14:paraId="25BD749A">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46E6CC4A">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w:t>
            </w:r>
          </w:p>
        </w:tc>
        <w:tc>
          <w:tcPr>
            <w:tcW w:w="1666" w:type="pct"/>
            <w:tcBorders>
              <w:top w:val="single" w:color="auto" w:sz="4" w:space="0"/>
              <w:left w:val="single" w:color="auto" w:sz="4" w:space="0"/>
              <w:bottom w:val="single" w:color="auto" w:sz="4" w:space="0"/>
              <w:right w:val="single" w:color="auto" w:sz="4" w:space="0"/>
            </w:tcBorders>
            <w:vAlign w:val="center"/>
          </w:tcPr>
          <w:p w14:paraId="0B66DCDB">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0.06858</w:t>
            </w:r>
          </w:p>
        </w:tc>
        <w:tc>
          <w:tcPr>
            <w:tcW w:w="1667" w:type="pct"/>
            <w:tcBorders>
              <w:top w:val="single" w:color="auto" w:sz="4" w:space="0"/>
              <w:left w:val="nil"/>
              <w:bottom w:val="single" w:color="auto" w:sz="4" w:space="0"/>
              <w:right w:val="single" w:color="auto" w:sz="4" w:space="0"/>
            </w:tcBorders>
            <w:vAlign w:val="center"/>
          </w:tcPr>
          <w:p w14:paraId="35BA6699">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0.06858</w:t>
            </w:r>
          </w:p>
        </w:tc>
      </w:tr>
      <w:tr w14:paraId="126F128D">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6B0ACF7B">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1</w:t>
            </w:r>
          </w:p>
        </w:tc>
        <w:tc>
          <w:tcPr>
            <w:tcW w:w="1666" w:type="pct"/>
            <w:tcBorders>
              <w:top w:val="nil"/>
              <w:left w:val="single" w:color="auto" w:sz="4" w:space="0"/>
              <w:bottom w:val="single" w:color="auto" w:sz="4" w:space="0"/>
              <w:right w:val="single" w:color="auto" w:sz="4" w:space="0"/>
            </w:tcBorders>
            <w:vAlign w:val="center"/>
          </w:tcPr>
          <w:p w14:paraId="0099D160">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0.07150</w:t>
            </w:r>
          </w:p>
        </w:tc>
        <w:tc>
          <w:tcPr>
            <w:tcW w:w="1667" w:type="pct"/>
            <w:tcBorders>
              <w:top w:val="nil"/>
              <w:left w:val="nil"/>
              <w:bottom w:val="single" w:color="auto" w:sz="4" w:space="0"/>
              <w:right w:val="single" w:color="auto" w:sz="4" w:space="0"/>
            </w:tcBorders>
            <w:vAlign w:val="center"/>
          </w:tcPr>
          <w:p w14:paraId="033205FC">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0.07240</w:t>
            </w:r>
          </w:p>
        </w:tc>
      </w:tr>
      <w:tr w14:paraId="568DF156">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5214DE02">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3</w:t>
            </w:r>
          </w:p>
        </w:tc>
        <w:tc>
          <w:tcPr>
            <w:tcW w:w="1666" w:type="pct"/>
            <w:tcBorders>
              <w:top w:val="nil"/>
              <w:left w:val="single" w:color="auto" w:sz="4" w:space="0"/>
              <w:bottom w:val="single" w:color="auto" w:sz="4" w:space="0"/>
              <w:right w:val="single" w:color="auto" w:sz="4" w:space="0"/>
            </w:tcBorders>
            <w:vAlign w:val="center"/>
          </w:tcPr>
          <w:p w14:paraId="4B688760">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0.07032</w:t>
            </w:r>
          </w:p>
        </w:tc>
        <w:tc>
          <w:tcPr>
            <w:tcW w:w="1667" w:type="pct"/>
            <w:tcBorders>
              <w:top w:val="nil"/>
              <w:left w:val="nil"/>
              <w:bottom w:val="single" w:color="auto" w:sz="4" w:space="0"/>
              <w:right w:val="single" w:color="auto" w:sz="4" w:space="0"/>
            </w:tcBorders>
            <w:vAlign w:val="center"/>
          </w:tcPr>
          <w:p w14:paraId="720E95D1">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0.07453</w:t>
            </w:r>
          </w:p>
        </w:tc>
      </w:tr>
      <w:tr w14:paraId="6C6503A5">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0566D84A">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5</w:t>
            </w:r>
          </w:p>
        </w:tc>
        <w:tc>
          <w:tcPr>
            <w:tcW w:w="1666" w:type="pct"/>
            <w:tcBorders>
              <w:top w:val="nil"/>
              <w:left w:val="single" w:color="auto" w:sz="4" w:space="0"/>
              <w:bottom w:val="single" w:color="auto" w:sz="4" w:space="0"/>
              <w:right w:val="single" w:color="auto" w:sz="4" w:space="0"/>
            </w:tcBorders>
            <w:vAlign w:val="center"/>
          </w:tcPr>
          <w:p w14:paraId="433355A4">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0.07087</w:t>
            </w:r>
          </w:p>
        </w:tc>
        <w:tc>
          <w:tcPr>
            <w:tcW w:w="1667" w:type="pct"/>
            <w:tcBorders>
              <w:top w:val="nil"/>
              <w:left w:val="nil"/>
              <w:bottom w:val="single" w:color="auto" w:sz="4" w:space="0"/>
              <w:right w:val="single" w:color="auto" w:sz="4" w:space="0"/>
            </w:tcBorders>
            <w:vAlign w:val="center"/>
          </w:tcPr>
          <w:p w14:paraId="5B63EABC">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0.07263</w:t>
            </w:r>
          </w:p>
        </w:tc>
      </w:tr>
      <w:tr w14:paraId="28387C5C">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413F5BA3">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7</w:t>
            </w:r>
          </w:p>
        </w:tc>
        <w:tc>
          <w:tcPr>
            <w:tcW w:w="1666" w:type="pct"/>
            <w:tcBorders>
              <w:top w:val="single" w:color="auto" w:sz="4" w:space="0"/>
              <w:left w:val="single" w:color="auto" w:sz="4" w:space="0"/>
              <w:bottom w:val="single" w:color="auto" w:sz="4" w:space="0"/>
              <w:right w:val="single" w:color="auto" w:sz="4" w:space="0"/>
            </w:tcBorders>
            <w:vAlign w:val="center"/>
          </w:tcPr>
          <w:p w14:paraId="7CBDB843">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0.07012</w:t>
            </w:r>
          </w:p>
        </w:tc>
        <w:tc>
          <w:tcPr>
            <w:tcW w:w="1667" w:type="pct"/>
            <w:tcBorders>
              <w:top w:val="single" w:color="auto" w:sz="4" w:space="0"/>
              <w:left w:val="nil"/>
              <w:bottom w:val="single" w:color="auto" w:sz="4" w:space="0"/>
              <w:right w:val="single" w:color="auto" w:sz="4" w:space="0"/>
            </w:tcBorders>
            <w:vAlign w:val="center"/>
          </w:tcPr>
          <w:p w14:paraId="3CEFD6C0">
            <w:pPr>
              <w:widowControl/>
              <w:autoSpaceDE w:val="0"/>
              <w:autoSpaceDN w:val="0"/>
              <w:snapToGrid w:val="0"/>
              <w:spacing w:before="78" w:beforeLines="25" w:line="360" w:lineRule="auto"/>
              <w:jc w:val="center"/>
              <w:textAlignment w:val="top"/>
              <w:rPr>
                <w:rFonts w:ascii="Times New Roman" w:hAnsi="Times New Roman"/>
              </w:rPr>
            </w:pPr>
            <w:r>
              <w:rPr>
                <w:rFonts w:ascii="Times New Roman" w:hAnsi="Times New Roman"/>
              </w:rPr>
              <w:t>0.07344</w:t>
            </w:r>
          </w:p>
        </w:tc>
      </w:tr>
      <w:tr w14:paraId="1FFDF4B5">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742CF6B5">
            <w:pPr>
              <w:widowControl/>
              <w:autoSpaceDE w:val="0"/>
              <w:autoSpaceDN w:val="0"/>
              <w:snapToGrid w:val="0"/>
              <w:spacing w:before="78" w:beforeLines="25" w:line="360" w:lineRule="auto"/>
              <w:jc w:val="center"/>
              <w:rPr>
                <w:rFonts w:ascii="Times New Roman" w:hAnsi="Times New Roman"/>
              </w:rPr>
            </w:pPr>
            <w:r>
              <w:rPr>
                <w:rFonts w:ascii="Times New Roman" w:hAnsi="Times New Roman"/>
                <w:i/>
              </w:rPr>
              <w:t>β</w:t>
            </w:r>
            <w:r>
              <w:rPr>
                <w:rFonts w:ascii="Times New Roman" w:hAnsi="Times New Roman"/>
                <w:vertAlign w:val="subscript"/>
              </w:rPr>
              <w:t>1</w:t>
            </w:r>
          </w:p>
        </w:tc>
        <w:tc>
          <w:tcPr>
            <w:tcW w:w="1666" w:type="pct"/>
            <w:tcBorders>
              <w:top w:val="single" w:color="auto" w:sz="4" w:space="0"/>
              <w:left w:val="single" w:color="auto" w:sz="4" w:space="0"/>
              <w:bottom w:val="single" w:color="auto" w:sz="4" w:space="0"/>
              <w:right w:val="single" w:color="auto" w:sz="4" w:space="0"/>
            </w:tcBorders>
            <w:vAlign w:val="center"/>
          </w:tcPr>
          <w:p w14:paraId="6EE0BD65">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0.0001</w:t>
            </w:r>
          </w:p>
        </w:tc>
        <w:tc>
          <w:tcPr>
            <w:tcW w:w="1667" w:type="pct"/>
            <w:tcBorders>
              <w:top w:val="single" w:color="auto" w:sz="4" w:space="0"/>
              <w:left w:val="nil"/>
              <w:bottom w:val="single" w:color="auto" w:sz="4" w:space="0"/>
              <w:right w:val="single" w:color="auto" w:sz="4" w:space="0"/>
            </w:tcBorders>
            <w:vAlign w:val="center"/>
          </w:tcPr>
          <w:p w14:paraId="4AD79270">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0.0005</w:t>
            </w:r>
          </w:p>
        </w:tc>
      </w:tr>
      <w:tr w14:paraId="0AE4D0A1">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0663C25A">
            <w:pPr>
              <w:widowControl/>
              <w:autoSpaceDE w:val="0"/>
              <w:autoSpaceDN w:val="0"/>
              <w:snapToGrid w:val="0"/>
              <w:spacing w:before="78" w:beforeLines="25" w:line="360" w:lineRule="auto"/>
              <w:jc w:val="center"/>
              <w:rPr>
                <w:rFonts w:ascii="Times New Roman" w:hAnsi="Times New Roman"/>
              </w:rPr>
            </w:pPr>
            <w:r>
              <w:rPr>
                <w:rFonts w:ascii="Times New Roman" w:hAnsi="Times New Roman"/>
                <w:i/>
              </w:rPr>
              <w:t>β</w:t>
            </w:r>
            <w:r>
              <w:rPr>
                <w:rFonts w:ascii="Times New Roman" w:hAnsi="Times New Roman"/>
                <w:vertAlign w:val="subscript"/>
              </w:rPr>
              <w:t>0</w:t>
            </w:r>
          </w:p>
        </w:tc>
        <w:tc>
          <w:tcPr>
            <w:tcW w:w="1666" w:type="pct"/>
            <w:tcBorders>
              <w:top w:val="nil"/>
              <w:left w:val="single" w:color="auto" w:sz="4" w:space="0"/>
              <w:bottom w:val="single" w:color="auto" w:sz="4" w:space="0"/>
              <w:right w:val="single" w:color="auto" w:sz="4" w:space="0"/>
            </w:tcBorders>
            <w:vAlign w:val="center"/>
          </w:tcPr>
          <w:p w14:paraId="1931B5A1">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0.070</w:t>
            </w:r>
          </w:p>
        </w:tc>
        <w:tc>
          <w:tcPr>
            <w:tcW w:w="1667" w:type="pct"/>
            <w:tcBorders>
              <w:top w:val="nil"/>
              <w:left w:val="nil"/>
              <w:bottom w:val="single" w:color="auto" w:sz="4" w:space="0"/>
              <w:right w:val="single" w:color="auto" w:sz="4" w:space="0"/>
            </w:tcBorders>
            <w:vAlign w:val="center"/>
          </w:tcPr>
          <w:p w14:paraId="445442D9">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0.071</w:t>
            </w:r>
          </w:p>
        </w:tc>
      </w:tr>
      <w:tr w14:paraId="3655119E">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07935991">
            <w:pPr>
              <w:widowControl/>
              <w:autoSpaceDE w:val="0"/>
              <w:autoSpaceDN w:val="0"/>
              <w:snapToGrid w:val="0"/>
              <w:spacing w:before="78" w:beforeLines="25" w:line="360" w:lineRule="auto"/>
              <w:jc w:val="center"/>
              <w:rPr>
                <w:rFonts w:ascii="Times New Roman" w:hAnsi="Times New Roman"/>
              </w:rPr>
            </w:pPr>
            <w:r>
              <w:rPr>
                <w:rFonts w:ascii="Times New Roman" w:hAnsi="Times New Roman"/>
                <w:i/>
              </w:rPr>
              <w:t>s</w:t>
            </w:r>
            <w:r>
              <w:rPr>
                <w:rFonts w:ascii="Times New Roman" w:hAnsi="Times New Roman"/>
                <w:vertAlign w:val="superscript"/>
              </w:rPr>
              <w:t>2</w:t>
            </w:r>
          </w:p>
        </w:tc>
        <w:tc>
          <w:tcPr>
            <w:tcW w:w="1666" w:type="pct"/>
            <w:tcBorders>
              <w:top w:val="nil"/>
              <w:left w:val="single" w:color="auto" w:sz="4" w:space="0"/>
              <w:bottom w:val="single" w:color="auto" w:sz="4" w:space="0"/>
              <w:right w:val="single" w:color="auto" w:sz="4" w:space="0"/>
            </w:tcBorders>
            <w:vAlign w:val="center"/>
          </w:tcPr>
          <w:p w14:paraId="35A004FA">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0.0000018</w:t>
            </w:r>
          </w:p>
        </w:tc>
        <w:tc>
          <w:tcPr>
            <w:tcW w:w="1667" w:type="pct"/>
            <w:tcBorders>
              <w:top w:val="nil"/>
              <w:left w:val="nil"/>
              <w:bottom w:val="single" w:color="auto" w:sz="4" w:space="0"/>
              <w:right w:val="single" w:color="auto" w:sz="4" w:space="0"/>
            </w:tcBorders>
            <w:vAlign w:val="center"/>
          </w:tcPr>
          <w:p w14:paraId="604EF018">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0.0000037</w:t>
            </w:r>
          </w:p>
        </w:tc>
      </w:tr>
      <w:tr w14:paraId="571EE9CD">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324E13B2">
            <w:pPr>
              <w:widowControl/>
              <w:autoSpaceDE w:val="0"/>
              <w:autoSpaceDN w:val="0"/>
              <w:snapToGrid w:val="0"/>
              <w:spacing w:before="78" w:beforeLines="25" w:line="360" w:lineRule="auto"/>
              <w:jc w:val="center"/>
              <w:rPr>
                <w:rFonts w:ascii="Times New Roman" w:hAnsi="Times New Roman"/>
              </w:rPr>
            </w:pPr>
            <w:r>
              <w:rPr>
                <w:rFonts w:ascii="Times New Roman" w:hAnsi="Times New Roman"/>
                <w:i/>
              </w:rPr>
              <w:t>s</w:t>
            </w:r>
            <w:r>
              <w:rPr>
                <w:rFonts w:ascii="Times New Roman" w:hAnsi="Times New Roman"/>
              </w:rPr>
              <w:t>(</w:t>
            </w:r>
            <w:r>
              <w:rPr>
                <w:rFonts w:ascii="Times New Roman" w:hAnsi="Times New Roman"/>
                <w:i/>
              </w:rPr>
              <w:t>β</w:t>
            </w:r>
            <w:r>
              <w:rPr>
                <w:rFonts w:ascii="Times New Roman" w:hAnsi="Times New Roman"/>
                <w:vertAlign w:val="subscript"/>
              </w:rPr>
              <w:t>1</w:t>
            </w:r>
            <w:r>
              <w:rPr>
                <w:rFonts w:ascii="Times New Roman" w:hAnsi="Times New Roman"/>
              </w:rPr>
              <w:t>)</w:t>
            </w:r>
          </w:p>
        </w:tc>
        <w:tc>
          <w:tcPr>
            <w:tcW w:w="1666" w:type="pct"/>
            <w:tcBorders>
              <w:top w:val="nil"/>
              <w:left w:val="single" w:color="auto" w:sz="4" w:space="0"/>
              <w:bottom w:val="single" w:color="auto" w:sz="4" w:space="0"/>
              <w:right w:val="single" w:color="auto" w:sz="4" w:space="0"/>
            </w:tcBorders>
            <w:vAlign w:val="center"/>
          </w:tcPr>
          <w:p w14:paraId="52334E0B">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0.00024</w:t>
            </w:r>
          </w:p>
        </w:tc>
        <w:tc>
          <w:tcPr>
            <w:tcW w:w="1667" w:type="pct"/>
            <w:tcBorders>
              <w:top w:val="nil"/>
              <w:left w:val="nil"/>
              <w:bottom w:val="single" w:color="auto" w:sz="4" w:space="0"/>
              <w:right w:val="single" w:color="auto" w:sz="4" w:space="0"/>
            </w:tcBorders>
            <w:vAlign w:val="center"/>
          </w:tcPr>
          <w:p w14:paraId="44762797">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0.00034</w:t>
            </w:r>
          </w:p>
        </w:tc>
      </w:tr>
      <w:tr w14:paraId="4B1CA68E">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6A4F64C6">
            <w:pPr>
              <w:widowControl/>
              <w:autoSpaceDE w:val="0"/>
              <w:autoSpaceDN w:val="0"/>
              <w:snapToGrid w:val="0"/>
              <w:spacing w:before="78" w:beforeLines="25" w:line="360" w:lineRule="auto"/>
              <w:jc w:val="center"/>
              <w:rPr>
                <w:rFonts w:ascii="Times New Roman" w:hAnsi="Times New Roman"/>
              </w:rPr>
            </w:pPr>
            <w:r>
              <w:rPr>
                <w:rFonts w:ascii="Times New Roman" w:hAnsi="Times New Roman"/>
                <w:i/>
              </w:rPr>
              <w:t>t</w:t>
            </w:r>
            <w:r>
              <w:rPr>
                <w:rFonts w:ascii="Times New Roman" w:hAnsi="Times New Roman"/>
                <w:vertAlign w:val="subscript"/>
              </w:rPr>
              <w:t>0.95，3</w:t>
            </w:r>
            <w:r>
              <w:rPr>
                <w:rFonts w:ascii="Times New Roman" w:hAnsi="Times New Roman"/>
              </w:rPr>
              <w:t xml:space="preserve"> ·</w:t>
            </w:r>
            <w:r>
              <w:rPr>
                <w:rFonts w:ascii="Times New Roman" w:hAnsi="Times New Roman"/>
                <w:i/>
              </w:rPr>
              <w:t>s</w:t>
            </w:r>
            <w:r>
              <w:rPr>
                <w:rFonts w:ascii="Times New Roman" w:hAnsi="Times New Roman"/>
              </w:rPr>
              <w:t>(</w:t>
            </w:r>
            <w:r>
              <w:rPr>
                <w:rFonts w:ascii="Times New Roman" w:hAnsi="Times New Roman"/>
                <w:i/>
              </w:rPr>
              <w:t>β</w:t>
            </w:r>
            <w:r>
              <w:rPr>
                <w:rFonts w:ascii="Times New Roman" w:hAnsi="Times New Roman"/>
                <w:vertAlign w:val="subscript"/>
              </w:rPr>
              <w:t>1</w:t>
            </w:r>
            <w:r>
              <w:rPr>
                <w:rFonts w:ascii="Times New Roman" w:hAnsi="Times New Roman"/>
              </w:rPr>
              <w:t>)</w:t>
            </w:r>
          </w:p>
        </w:tc>
        <w:tc>
          <w:tcPr>
            <w:tcW w:w="1666" w:type="pct"/>
            <w:tcBorders>
              <w:top w:val="single" w:color="000000" w:sz="4" w:space="0"/>
              <w:left w:val="single" w:color="000000" w:sz="4" w:space="0"/>
              <w:bottom w:val="single" w:color="000000" w:sz="4" w:space="0"/>
              <w:right w:val="single" w:color="000000" w:sz="4" w:space="0"/>
            </w:tcBorders>
            <w:vAlign w:val="center"/>
          </w:tcPr>
          <w:p w14:paraId="54F104C2">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0.000749859</w:t>
            </w:r>
          </w:p>
        </w:tc>
        <w:tc>
          <w:tcPr>
            <w:tcW w:w="1667" w:type="pct"/>
            <w:tcBorders>
              <w:top w:val="single" w:color="000000" w:sz="4" w:space="0"/>
              <w:left w:val="single" w:color="000000" w:sz="4" w:space="0"/>
              <w:bottom w:val="single" w:color="000000" w:sz="4" w:space="0"/>
              <w:right w:val="single" w:color="000000" w:sz="4" w:space="0"/>
            </w:tcBorders>
            <w:vAlign w:val="center"/>
          </w:tcPr>
          <w:p w14:paraId="2E6FFD91">
            <w:pPr>
              <w:widowControl/>
              <w:autoSpaceDE w:val="0"/>
              <w:autoSpaceDN w:val="0"/>
              <w:snapToGrid w:val="0"/>
              <w:spacing w:before="78" w:beforeLines="25" w:line="360" w:lineRule="auto"/>
              <w:jc w:val="center"/>
              <w:textAlignment w:val="center"/>
              <w:rPr>
                <w:rFonts w:ascii="Times New Roman" w:hAnsi="Times New Roman"/>
              </w:rPr>
            </w:pPr>
            <w:r>
              <w:rPr>
                <w:rFonts w:ascii="Times New Roman" w:hAnsi="Times New Roman"/>
              </w:rPr>
              <w:t>0.001065858</w:t>
            </w:r>
          </w:p>
        </w:tc>
      </w:tr>
      <w:tr w14:paraId="75AFFDA2">
        <w:tblPrEx>
          <w:tblCellMar>
            <w:top w:w="15" w:type="dxa"/>
            <w:left w:w="15" w:type="dxa"/>
            <w:bottom w:w="15" w:type="dxa"/>
            <w:right w:w="15" w:type="dxa"/>
          </w:tblCellMar>
        </w:tblPrEx>
        <w:trPr>
          <w:trHeight w:val="408" w:hRule="atLeast"/>
          <w:jc w:val="center"/>
        </w:trPr>
        <w:tc>
          <w:tcPr>
            <w:tcW w:w="1665" w:type="pct"/>
            <w:tcBorders>
              <w:top w:val="single" w:color="000000" w:sz="4" w:space="0"/>
              <w:left w:val="single" w:color="000000" w:sz="4" w:space="0"/>
              <w:bottom w:val="single" w:color="000000" w:sz="4" w:space="0"/>
              <w:right w:val="single" w:color="000000" w:sz="4" w:space="0"/>
            </w:tcBorders>
            <w:vAlign w:val="center"/>
          </w:tcPr>
          <w:p w14:paraId="1750D6B4">
            <w:pPr>
              <w:widowControl/>
              <w:autoSpaceDE w:val="0"/>
              <w:autoSpaceDN w:val="0"/>
              <w:snapToGrid w:val="0"/>
              <w:spacing w:before="78" w:beforeLines="25" w:line="360" w:lineRule="auto"/>
              <w:jc w:val="center"/>
              <w:rPr>
                <w:rFonts w:ascii="Times New Roman" w:hAnsi="Times New Roman"/>
              </w:rPr>
            </w:pPr>
            <w:r>
              <w:rPr>
                <w:rFonts w:ascii="Times New Roman" w:hAnsi="Times New Roman"/>
              </w:rPr>
              <w:t>结论</w:t>
            </w:r>
          </w:p>
        </w:tc>
        <w:tc>
          <w:tcPr>
            <w:tcW w:w="1666" w:type="pct"/>
            <w:tcBorders>
              <w:top w:val="single" w:color="000000" w:sz="4" w:space="0"/>
              <w:left w:val="single" w:color="000000" w:sz="4" w:space="0"/>
              <w:bottom w:val="single" w:color="000000" w:sz="4" w:space="0"/>
              <w:right w:val="single" w:color="000000" w:sz="4" w:space="0"/>
            </w:tcBorders>
            <w:vAlign w:val="center"/>
          </w:tcPr>
          <w:p w14:paraId="09B1AC2B">
            <w:pPr>
              <w:widowControl/>
              <w:autoSpaceDE w:val="0"/>
              <w:autoSpaceDN w:val="0"/>
              <w:snapToGrid w:val="0"/>
              <w:spacing w:before="78" w:beforeLines="25" w:line="360" w:lineRule="auto"/>
              <w:jc w:val="center"/>
              <w:rPr>
                <w:rFonts w:ascii="Times New Roman" w:hAnsi="Times New Roman"/>
              </w:rPr>
            </w:pPr>
            <w:r>
              <w:rPr>
                <w:rFonts w:ascii="Times New Roman" w:hAnsi="Times New Roman"/>
              </w:rPr>
              <w:t>|</w:t>
            </w:r>
            <w:r>
              <w:rPr>
                <w:rFonts w:ascii="Times New Roman" w:hAnsi="Times New Roman"/>
                <w:i/>
              </w:rPr>
              <w:t>β</w:t>
            </w:r>
            <w:r>
              <w:rPr>
                <w:rFonts w:ascii="Times New Roman" w:hAnsi="Times New Roman"/>
                <w:vertAlign w:val="subscript"/>
              </w:rPr>
              <w:t>1</w:t>
            </w:r>
            <w:r>
              <w:rPr>
                <w:rFonts w:ascii="Times New Roman" w:hAnsi="Times New Roman"/>
              </w:rPr>
              <w:t>|&lt;</w:t>
            </w:r>
            <w:r>
              <w:rPr>
                <w:rFonts w:ascii="Times New Roman" w:hAnsi="Times New Roman"/>
                <w:i/>
              </w:rPr>
              <w:t xml:space="preserve"> t</w:t>
            </w:r>
            <w:r>
              <w:rPr>
                <w:rFonts w:ascii="Times New Roman" w:hAnsi="Times New Roman"/>
                <w:vertAlign w:val="subscript"/>
              </w:rPr>
              <w:t>0.95,3</w:t>
            </w:r>
            <w:r>
              <w:rPr>
                <w:rFonts w:ascii="Times New Roman" w:hAnsi="Times New Roman"/>
              </w:rPr>
              <w:t>·</w:t>
            </w:r>
            <w:r>
              <w:rPr>
                <w:rFonts w:ascii="Times New Roman" w:hAnsi="Times New Roman"/>
                <w:i/>
              </w:rPr>
              <w:t>s</w:t>
            </w:r>
            <w:r>
              <w:rPr>
                <w:rFonts w:ascii="Times New Roman" w:hAnsi="Times New Roman"/>
              </w:rPr>
              <w:t>(</w:t>
            </w:r>
            <w:r>
              <w:rPr>
                <w:rFonts w:ascii="Times New Roman" w:hAnsi="Times New Roman"/>
                <w:i/>
              </w:rPr>
              <w:t>β</w:t>
            </w:r>
            <w:r>
              <w:rPr>
                <w:rFonts w:ascii="Times New Roman" w:hAnsi="Times New Roman"/>
                <w:vertAlign w:val="subscript"/>
              </w:rPr>
              <w:t>1</w:t>
            </w:r>
            <w:r>
              <w:rPr>
                <w:rFonts w:ascii="Times New Roman" w:hAnsi="Times New Roman"/>
              </w:rPr>
              <w:t>)，稳定</w:t>
            </w:r>
          </w:p>
        </w:tc>
        <w:tc>
          <w:tcPr>
            <w:tcW w:w="1667" w:type="pct"/>
            <w:tcBorders>
              <w:top w:val="single" w:color="000000" w:sz="4" w:space="0"/>
              <w:left w:val="single" w:color="000000" w:sz="4" w:space="0"/>
              <w:bottom w:val="single" w:color="000000" w:sz="4" w:space="0"/>
              <w:right w:val="single" w:color="000000" w:sz="4" w:space="0"/>
            </w:tcBorders>
            <w:vAlign w:val="center"/>
          </w:tcPr>
          <w:p w14:paraId="1D1C85B5">
            <w:pPr>
              <w:widowControl/>
              <w:autoSpaceDE w:val="0"/>
              <w:autoSpaceDN w:val="0"/>
              <w:snapToGrid w:val="0"/>
              <w:spacing w:before="78" w:beforeLines="25" w:line="360" w:lineRule="auto"/>
              <w:jc w:val="center"/>
              <w:rPr>
                <w:rFonts w:ascii="Times New Roman" w:hAnsi="Times New Roman"/>
              </w:rPr>
            </w:pPr>
            <w:r>
              <w:rPr>
                <w:rFonts w:ascii="Times New Roman" w:hAnsi="Times New Roman"/>
              </w:rPr>
              <w:t>|</w:t>
            </w:r>
            <w:r>
              <w:rPr>
                <w:rFonts w:ascii="Times New Roman" w:hAnsi="Times New Roman"/>
                <w:i/>
              </w:rPr>
              <w:t>β</w:t>
            </w:r>
            <w:r>
              <w:rPr>
                <w:rFonts w:ascii="Times New Roman" w:hAnsi="Times New Roman"/>
                <w:vertAlign w:val="subscript"/>
              </w:rPr>
              <w:t>1</w:t>
            </w:r>
            <w:r>
              <w:rPr>
                <w:rFonts w:ascii="Times New Roman" w:hAnsi="Times New Roman"/>
              </w:rPr>
              <w:t>|&lt;</w:t>
            </w:r>
            <w:r>
              <w:rPr>
                <w:rFonts w:ascii="Times New Roman" w:hAnsi="Times New Roman"/>
                <w:i/>
              </w:rPr>
              <w:t xml:space="preserve"> t</w:t>
            </w:r>
            <w:r>
              <w:rPr>
                <w:rFonts w:ascii="Times New Roman" w:hAnsi="Times New Roman"/>
                <w:vertAlign w:val="subscript"/>
              </w:rPr>
              <w:t>0.95,3</w:t>
            </w:r>
            <w:r>
              <w:rPr>
                <w:rFonts w:ascii="Times New Roman" w:hAnsi="Times New Roman"/>
              </w:rPr>
              <w:t>·</w:t>
            </w:r>
            <w:r>
              <w:rPr>
                <w:rFonts w:ascii="Times New Roman" w:hAnsi="Times New Roman"/>
                <w:i/>
              </w:rPr>
              <w:t>s</w:t>
            </w:r>
            <w:r>
              <w:rPr>
                <w:rFonts w:ascii="Times New Roman" w:hAnsi="Times New Roman"/>
              </w:rPr>
              <w:t>(</w:t>
            </w:r>
            <w:r>
              <w:rPr>
                <w:rFonts w:ascii="Times New Roman" w:hAnsi="Times New Roman"/>
                <w:i/>
              </w:rPr>
              <w:t>β</w:t>
            </w:r>
            <w:r>
              <w:rPr>
                <w:rFonts w:ascii="Times New Roman" w:hAnsi="Times New Roman"/>
                <w:vertAlign w:val="subscript"/>
              </w:rPr>
              <w:t>1</w:t>
            </w:r>
            <w:r>
              <w:rPr>
                <w:rFonts w:ascii="Times New Roman" w:hAnsi="Times New Roman"/>
              </w:rPr>
              <w:t>)，稳定</w:t>
            </w:r>
          </w:p>
        </w:tc>
      </w:tr>
    </w:tbl>
    <w:p w14:paraId="5763E756">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.7  定值</w:t>
      </w:r>
    </w:p>
    <w:p w14:paraId="69D4258B">
      <w:pPr>
        <w:wordWrap w:val="0"/>
        <w:spacing w:line="360" w:lineRule="auto"/>
        <w:ind w:firstLine="420"/>
        <w:rPr>
          <w:rFonts w:ascii="Times New Roman" w:hAnsi="Times New Roman"/>
        </w:rPr>
      </w:pPr>
      <w:r>
        <w:rPr>
          <w:rFonts w:ascii="Times New Roman" w:hAnsi="Times New Roman"/>
        </w:rPr>
        <w:t>本项目采用基于GB 5009.168-2016 《食品安全国家标准 食品中脂肪酸的测定》第二法并优化气相色谱-乙酰氯-甲醇法建立的定值方法并组织多家实验室进行联合定值。</w:t>
      </w:r>
    </w:p>
    <w:p w14:paraId="516D940E">
      <w:pPr>
        <w:wordWrap w:val="0"/>
        <w:spacing w:line="360" w:lineRule="auto"/>
        <w:ind w:firstLine="420"/>
        <w:rPr>
          <w:rFonts w:ascii="Times New Roman" w:hAnsi="Times New Roman"/>
        </w:rPr>
      </w:pPr>
      <w:r>
        <w:rPr>
          <w:rFonts w:ascii="Times New Roman" w:hAnsi="Times New Roman"/>
        </w:rPr>
        <w:t>乳粉中DHA成分分析标准物质定值结果见表4。</w:t>
      </w:r>
    </w:p>
    <w:p w14:paraId="098365B3">
      <w:pPr>
        <w:wordWrap w:val="0"/>
        <w:spacing w:line="360" w:lineRule="auto"/>
        <w:ind w:firstLine="422"/>
        <w:jc w:val="center"/>
        <w:rPr>
          <w:rFonts w:ascii="Times New Roman" w:hAnsi="Times New Roman" w:eastAsia="黑体"/>
          <w:bCs/>
        </w:rPr>
      </w:pPr>
      <w:r>
        <w:rPr>
          <w:rFonts w:ascii="Times New Roman" w:hAnsi="Times New Roman" w:eastAsia="黑体"/>
          <w:bCs/>
        </w:rPr>
        <w:t>表</w:t>
      </w:r>
      <w:r>
        <w:rPr>
          <w:rFonts w:hint="eastAsia" w:ascii="Times New Roman" w:hAnsi="Times New Roman" w:eastAsia="黑体"/>
          <w:bCs/>
        </w:rPr>
        <w:t>D.</w:t>
      </w:r>
      <w:r>
        <w:rPr>
          <w:rFonts w:ascii="Times New Roman" w:hAnsi="Times New Roman" w:eastAsia="黑体"/>
          <w:bCs/>
        </w:rPr>
        <w:t>4 乳粉中DHA成分分析标准物质定值结果（单位：g/100g）</w:t>
      </w:r>
    </w:p>
    <w:tbl>
      <w:tblPr>
        <w:tblStyle w:val="28"/>
        <w:tblW w:w="48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5"/>
        <w:gridCol w:w="1325"/>
        <w:gridCol w:w="1325"/>
        <w:gridCol w:w="671"/>
        <w:gridCol w:w="654"/>
        <w:gridCol w:w="1325"/>
        <w:gridCol w:w="1325"/>
        <w:gridCol w:w="1342"/>
      </w:tblGrid>
      <w:tr w14:paraId="154E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vAlign w:val="center"/>
          </w:tcPr>
          <w:p w14:paraId="6610AD06">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对象</w:t>
            </w:r>
          </w:p>
        </w:tc>
        <w:tc>
          <w:tcPr>
            <w:tcW w:w="713" w:type="pct"/>
            <w:vAlign w:val="center"/>
          </w:tcPr>
          <w:p w14:paraId="792C0E82">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Lab 1</w:t>
            </w:r>
          </w:p>
        </w:tc>
        <w:tc>
          <w:tcPr>
            <w:tcW w:w="713" w:type="pct"/>
            <w:vAlign w:val="center"/>
          </w:tcPr>
          <w:p w14:paraId="7308C5DD">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Lab 2</w:t>
            </w:r>
          </w:p>
        </w:tc>
        <w:tc>
          <w:tcPr>
            <w:tcW w:w="713" w:type="pct"/>
            <w:gridSpan w:val="2"/>
            <w:vAlign w:val="center"/>
          </w:tcPr>
          <w:p w14:paraId="45043CD1">
            <w:pPr>
              <w:widowControl/>
              <w:wordWrap w:val="0"/>
              <w:autoSpaceDE w:val="0"/>
              <w:autoSpaceDN w:val="0"/>
              <w:snapToGrid w:val="0"/>
              <w:spacing w:before="78" w:beforeLines="25" w:line="360" w:lineRule="auto"/>
              <w:ind w:firstLine="197" w:firstLineChars="94"/>
              <w:jc w:val="center"/>
              <w:rPr>
                <w:rFonts w:ascii="Times New Roman" w:hAnsi="Times New Roman"/>
                <w:bCs/>
                <w:color w:val="231F20"/>
              </w:rPr>
            </w:pPr>
            <w:r>
              <w:rPr>
                <w:rFonts w:ascii="Times New Roman" w:hAnsi="Times New Roman"/>
                <w:bCs/>
                <w:color w:val="231F20"/>
              </w:rPr>
              <w:t>Lab 3</w:t>
            </w:r>
          </w:p>
        </w:tc>
        <w:tc>
          <w:tcPr>
            <w:tcW w:w="713" w:type="pct"/>
            <w:vAlign w:val="center"/>
          </w:tcPr>
          <w:p w14:paraId="18D337BB">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Lab 4</w:t>
            </w:r>
          </w:p>
        </w:tc>
        <w:tc>
          <w:tcPr>
            <w:tcW w:w="713" w:type="pct"/>
            <w:vAlign w:val="center"/>
          </w:tcPr>
          <w:p w14:paraId="4B2F5D80">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Lab 5</w:t>
            </w:r>
          </w:p>
        </w:tc>
        <w:tc>
          <w:tcPr>
            <w:tcW w:w="716" w:type="pct"/>
            <w:vAlign w:val="center"/>
          </w:tcPr>
          <w:p w14:paraId="3A8ED83F">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Lab 6</w:t>
            </w:r>
          </w:p>
        </w:tc>
      </w:tr>
      <w:tr w14:paraId="0461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vAlign w:val="center"/>
          </w:tcPr>
          <w:p w14:paraId="622135DC">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结果1</w:t>
            </w:r>
          </w:p>
        </w:tc>
        <w:tc>
          <w:tcPr>
            <w:tcW w:w="713" w:type="pct"/>
            <w:tcBorders>
              <w:top w:val="single" w:color="auto" w:sz="4" w:space="0"/>
              <w:left w:val="single" w:color="auto" w:sz="4" w:space="0"/>
              <w:bottom w:val="single" w:color="auto" w:sz="4" w:space="0"/>
              <w:right w:val="single" w:color="auto" w:sz="4" w:space="0"/>
            </w:tcBorders>
            <w:vAlign w:val="center"/>
          </w:tcPr>
          <w:p w14:paraId="0C0FC8EE">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0.06826</w:t>
            </w:r>
          </w:p>
        </w:tc>
        <w:tc>
          <w:tcPr>
            <w:tcW w:w="713" w:type="pct"/>
            <w:tcBorders>
              <w:top w:val="single" w:color="auto" w:sz="4" w:space="0"/>
              <w:left w:val="nil"/>
              <w:bottom w:val="single" w:color="auto" w:sz="4" w:space="0"/>
              <w:right w:val="single" w:color="auto" w:sz="4" w:space="0"/>
            </w:tcBorders>
            <w:vAlign w:val="center"/>
          </w:tcPr>
          <w:p w14:paraId="06C984CA">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0.06972</w:t>
            </w:r>
          </w:p>
        </w:tc>
        <w:tc>
          <w:tcPr>
            <w:tcW w:w="713" w:type="pct"/>
            <w:gridSpan w:val="2"/>
            <w:tcBorders>
              <w:top w:val="single" w:color="auto" w:sz="4" w:space="0"/>
              <w:left w:val="nil"/>
              <w:bottom w:val="single" w:color="auto" w:sz="4" w:space="0"/>
              <w:right w:val="single" w:color="auto" w:sz="4" w:space="0"/>
            </w:tcBorders>
            <w:vAlign w:val="center"/>
          </w:tcPr>
          <w:p w14:paraId="26B6F19A">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0.06900</w:t>
            </w:r>
          </w:p>
        </w:tc>
        <w:tc>
          <w:tcPr>
            <w:tcW w:w="713" w:type="pct"/>
            <w:tcBorders>
              <w:top w:val="single" w:color="auto" w:sz="4" w:space="0"/>
              <w:left w:val="nil"/>
              <w:bottom w:val="single" w:color="auto" w:sz="4" w:space="0"/>
              <w:right w:val="single" w:color="auto" w:sz="4" w:space="0"/>
            </w:tcBorders>
            <w:vAlign w:val="center"/>
          </w:tcPr>
          <w:p w14:paraId="3E608FA0">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0.07167</w:t>
            </w:r>
          </w:p>
        </w:tc>
        <w:tc>
          <w:tcPr>
            <w:tcW w:w="713" w:type="pct"/>
            <w:tcBorders>
              <w:top w:val="single" w:color="auto" w:sz="4" w:space="0"/>
              <w:left w:val="nil"/>
              <w:bottom w:val="single" w:color="auto" w:sz="4" w:space="0"/>
              <w:right w:val="single" w:color="auto" w:sz="4" w:space="0"/>
            </w:tcBorders>
            <w:vAlign w:val="center"/>
          </w:tcPr>
          <w:p w14:paraId="74B0557D">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0.06783</w:t>
            </w:r>
          </w:p>
        </w:tc>
        <w:tc>
          <w:tcPr>
            <w:tcW w:w="716" w:type="pct"/>
            <w:tcBorders>
              <w:top w:val="single" w:color="auto" w:sz="4" w:space="0"/>
              <w:left w:val="single" w:color="auto" w:sz="4" w:space="0"/>
              <w:bottom w:val="single" w:color="auto" w:sz="4" w:space="0"/>
              <w:right w:val="single" w:color="auto" w:sz="4" w:space="0"/>
            </w:tcBorders>
            <w:vAlign w:val="center"/>
          </w:tcPr>
          <w:p w14:paraId="2BBCB5D4">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0.06637</w:t>
            </w:r>
          </w:p>
        </w:tc>
      </w:tr>
      <w:tr w14:paraId="2488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vAlign w:val="center"/>
          </w:tcPr>
          <w:p w14:paraId="121C68D0">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结果2</w:t>
            </w:r>
          </w:p>
        </w:tc>
        <w:tc>
          <w:tcPr>
            <w:tcW w:w="713" w:type="pct"/>
            <w:tcBorders>
              <w:top w:val="nil"/>
              <w:left w:val="single" w:color="auto" w:sz="4" w:space="0"/>
              <w:bottom w:val="single" w:color="auto" w:sz="4" w:space="0"/>
              <w:right w:val="single" w:color="auto" w:sz="4" w:space="0"/>
            </w:tcBorders>
            <w:vAlign w:val="center"/>
          </w:tcPr>
          <w:p w14:paraId="5F2EDD8C">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0.06890</w:t>
            </w:r>
          </w:p>
        </w:tc>
        <w:tc>
          <w:tcPr>
            <w:tcW w:w="713" w:type="pct"/>
            <w:tcBorders>
              <w:top w:val="nil"/>
              <w:left w:val="nil"/>
              <w:bottom w:val="single" w:color="auto" w:sz="4" w:space="0"/>
              <w:right w:val="single" w:color="auto" w:sz="4" w:space="0"/>
            </w:tcBorders>
            <w:vAlign w:val="center"/>
          </w:tcPr>
          <w:p w14:paraId="57E55997">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0.06972</w:t>
            </w:r>
          </w:p>
        </w:tc>
        <w:tc>
          <w:tcPr>
            <w:tcW w:w="713" w:type="pct"/>
            <w:gridSpan w:val="2"/>
            <w:tcBorders>
              <w:top w:val="nil"/>
              <w:left w:val="nil"/>
              <w:bottom w:val="single" w:color="auto" w:sz="4" w:space="0"/>
              <w:right w:val="single" w:color="auto" w:sz="4" w:space="0"/>
            </w:tcBorders>
            <w:vAlign w:val="center"/>
          </w:tcPr>
          <w:p w14:paraId="724F7CB8">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0.06820</w:t>
            </w:r>
          </w:p>
        </w:tc>
        <w:tc>
          <w:tcPr>
            <w:tcW w:w="713" w:type="pct"/>
            <w:tcBorders>
              <w:top w:val="nil"/>
              <w:left w:val="nil"/>
              <w:bottom w:val="single" w:color="auto" w:sz="4" w:space="0"/>
              <w:right w:val="single" w:color="auto" w:sz="4" w:space="0"/>
            </w:tcBorders>
            <w:vAlign w:val="center"/>
          </w:tcPr>
          <w:p w14:paraId="22166003">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0.07238</w:t>
            </w:r>
          </w:p>
        </w:tc>
        <w:tc>
          <w:tcPr>
            <w:tcW w:w="713" w:type="pct"/>
            <w:tcBorders>
              <w:top w:val="nil"/>
              <w:left w:val="nil"/>
              <w:bottom w:val="single" w:color="auto" w:sz="4" w:space="0"/>
              <w:right w:val="single" w:color="auto" w:sz="4" w:space="0"/>
            </w:tcBorders>
            <w:vAlign w:val="center"/>
          </w:tcPr>
          <w:p w14:paraId="16301F68">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0.06856</w:t>
            </w:r>
          </w:p>
        </w:tc>
        <w:tc>
          <w:tcPr>
            <w:tcW w:w="716" w:type="pct"/>
            <w:tcBorders>
              <w:top w:val="nil"/>
              <w:left w:val="single" w:color="auto" w:sz="4" w:space="0"/>
              <w:bottom w:val="single" w:color="auto" w:sz="4" w:space="0"/>
              <w:right w:val="single" w:color="auto" w:sz="4" w:space="0"/>
            </w:tcBorders>
            <w:vAlign w:val="center"/>
          </w:tcPr>
          <w:p w14:paraId="3CDB1078">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0.06787</w:t>
            </w:r>
          </w:p>
        </w:tc>
      </w:tr>
      <w:tr w14:paraId="152B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vAlign w:val="center"/>
          </w:tcPr>
          <w:p w14:paraId="2389D547">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结果3</w:t>
            </w:r>
          </w:p>
        </w:tc>
        <w:tc>
          <w:tcPr>
            <w:tcW w:w="713" w:type="pct"/>
            <w:tcBorders>
              <w:top w:val="nil"/>
              <w:left w:val="single" w:color="auto" w:sz="4" w:space="0"/>
              <w:bottom w:val="single" w:color="auto" w:sz="4" w:space="0"/>
              <w:right w:val="single" w:color="auto" w:sz="4" w:space="0"/>
            </w:tcBorders>
            <w:vAlign w:val="center"/>
          </w:tcPr>
          <w:p w14:paraId="03F1EBDD">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0.06809</w:t>
            </w:r>
          </w:p>
        </w:tc>
        <w:tc>
          <w:tcPr>
            <w:tcW w:w="713" w:type="pct"/>
            <w:tcBorders>
              <w:top w:val="nil"/>
              <w:left w:val="nil"/>
              <w:bottom w:val="single" w:color="auto" w:sz="4" w:space="0"/>
              <w:right w:val="single" w:color="auto" w:sz="4" w:space="0"/>
            </w:tcBorders>
            <w:vAlign w:val="center"/>
          </w:tcPr>
          <w:p w14:paraId="1B1173C7">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0.07140</w:t>
            </w:r>
          </w:p>
        </w:tc>
        <w:tc>
          <w:tcPr>
            <w:tcW w:w="713" w:type="pct"/>
            <w:gridSpan w:val="2"/>
            <w:tcBorders>
              <w:top w:val="nil"/>
              <w:left w:val="nil"/>
              <w:bottom w:val="single" w:color="auto" w:sz="4" w:space="0"/>
              <w:right w:val="single" w:color="auto" w:sz="4" w:space="0"/>
            </w:tcBorders>
            <w:vAlign w:val="center"/>
          </w:tcPr>
          <w:p w14:paraId="4CB78C4E">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0.06850</w:t>
            </w:r>
          </w:p>
        </w:tc>
        <w:tc>
          <w:tcPr>
            <w:tcW w:w="713" w:type="pct"/>
            <w:tcBorders>
              <w:top w:val="nil"/>
              <w:left w:val="nil"/>
              <w:bottom w:val="single" w:color="auto" w:sz="4" w:space="0"/>
              <w:right w:val="single" w:color="auto" w:sz="4" w:space="0"/>
            </w:tcBorders>
            <w:vAlign w:val="center"/>
          </w:tcPr>
          <w:p w14:paraId="67FA8D89">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0.07220</w:t>
            </w:r>
          </w:p>
        </w:tc>
        <w:tc>
          <w:tcPr>
            <w:tcW w:w="713" w:type="pct"/>
            <w:tcBorders>
              <w:top w:val="nil"/>
              <w:left w:val="nil"/>
              <w:bottom w:val="single" w:color="auto" w:sz="4" w:space="0"/>
              <w:right w:val="single" w:color="auto" w:sz="4" w:space="0"/>
            </w:tcBorders>
            <w:vAlign w:val="center"/>
          </w:tcPr>
          <w:p w14:paraId="22E4B30B">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0.06980</w:t>
            </w:r>
          </w:p>
        </w:tc>
        <w:tc>
          <w:tcPr>
            <w:tcW w:w="716" w:type="pct"/>
            <w:tcBorders>
              <w:top w:val="nil"/>
              <w:left w:val="single" w:color="auto" w:sz="4" w:space="0"/>
              <w:bottom w:val="single" w:color="auto" w:sz="4" w:space="0"/>
              <w:right w:val="single" w:color="auto" w:sz="4" w:space="0"/>
            </w:tcBorders>
            <w:vAlign w:val="center"/>
          </w:tcPr>
          <w:p w14:paraId="46DA639E">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0.06689</w:t>
            </w:r>
          </w:p>
        </w:tc>
      </w:tr>
      <w:tr w14:paraId="5B93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tcBorders>
              <w:right w:val="single" w:color="auto" w:sz="4" w:space="0"/>
            </w:tcBorders>
            <w:vAlign w:val="center"/>
          </w:tcPr>
          <w:p w14:paraId="7AD1A46D">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结果4</w:t>
            </w:r>
          </w:p>
        </w:tc>
        <w:tc>
          <w:tcPr>
            <w:tcW w:w="713" w:type="pct"/>
            <w:tcBorders>
              <w:top w:val="single" w:color="auto" w:sz="4" w:space="0"/>
              <w:left w:val="single" w:color="auto" w:sz="4" w:space="0"/>
              <w:bottom w:val="single" w:color="auto" w:sz="4" w:space="0"/>
              <w:right w:val="single" w:color="auto" w:sz="4" w:space="0"/>
            </w:tcBorders>
            <w:vAlign w:val="center"/>
          </w:tcPr>
          <w:p w14:paraId="18A6FD59">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0.06773</w:t>
            </w:r>
          </w:p>
        </w:tc>
        <w:tc>
          <w:tcPr>
            <w:tcW w:w="713" w:type="pct"/>
            <w:tcBorders>
              <w:top w:val="single" w:color="auto" w:sz="4" w:space="0"/>
              <w:left w:val="single" w:color="auto" w:sz="4" w:space="0"/>
              <w:bottom w:val="single" w:color="auto" w:sz="4" w:space="0"/>
              <w:right w:val="single" w:color="auto" w:sz="4" w:space="0"/>
            </w:tcBorders>
            <w:vAlign w:val="center"/>
          </w:tcPr>
          <w:p w14:paraId="0C2A579B">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0.07056</w:t>
            </w:r>
          </w:p>
        </w:tc>
        <w:tc>
          <w:tcPr>
            <w:tcW w:w="713" w:type="pct"/>
            <w:gridSpan w:val="2"/>
            <w:tcBorders>
              <w:top w:val="single" w:color="auto" w:sz="4" w:space="0"/>
              <w:left w:val="single" w:color="auto" w:sz="4" w:space="0"/>
              <w:bottom w:val="single" w:color="auto" w:sz="4" w:space="0"/>
              <w:right w:val="single" w:color="auto" w:sz="4" w:space="0"/>
            </w:tcBorders>
            <w:vAlign w:val="center"/>
          </w:tcPr>
          <w:p w14:paraId="35438ABE">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0.06800</w:t>
            </w:r>
          </w:p>
        </w:tc>
        <w:tc>
          <w:tcPr>
            <w:tcW w:w="713" w:type="pct"/>
            <w:tcBorders>
              <w:top w:val="single" w:color="auto" w:sz="4" w:space="0"/>
              <w:left w:val="single" w:color="auto" w:sz="4" w:space="0"/>
              <w:bottom w:val="single" w:color="auto" w:sz="4" w:space="0"/>
              <w:right w:val="single" w:color="auto" w:sz="4" w:space="0"/>
            </w:tcBorders>
            <w:vAlign w:val="center"/>
          </w:tcPr>
          <w:p w14:paraId="309C4DAC">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0.07323</w:t>
            </w:r>
          </w:p>
        </w:tc>
        <w:tc>
          <w:tcPr>
            <w:tcW w:w="713" w:type="pct"/>
            <w:tcBorders>
              <w:top w:val="single" w:color="auto" w:sz="4" w:space="0"/>
              <w:left w:val="single" w:color="auto" w:sz="4" w:space="0"/>
              <w:bottom w:val="single" w:color="auto" w:sz="4" w:space="0"/>
              <w:right w:val="single" w:color="auto" w:sz="4" w:space="0"/>
            </w:tcBorders>
            <w:vAlign w:val="center"/>
          </w:tcPr>
          <w:p w14:paraId="2FD9D921">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0.06994</w:t>
            </w:r>
          </w:p>
        </w:tc>
        <w:tc>
          <w:tcPr>
            <w:tcW w:w="716" w:type="pct"/>
            <w:tcBorders>
              <w:top w:val="single" w:color="auto" w:sz="4" w:space="0"/>
              <w:left w:val="single" w:color="auto" w:sz="4" w:space="0"/>
              <w:bottom w:val="single" w:color="auto" w:sz="4" w:space="0"/>
              <w:right w:val="single" w:color="auto" w:sz="4" w:space="0"/>
            </w:tcBorders>
            <w:vAlign w:val="center"/>
          </w:tcPr>
          <w:p w14:paraId="396D30B4">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0.06756</w:t>
            </w:r>
          </w:p>
        </w:tc>
      </w:tr>
      <w:tr w14:paraId="2347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vAlign w:val="center"/>
          </w:tcPr>
          <w:p w14:paraId="0A2041B3">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结果5</w:t>
            </w:r>
          </w:p>
        </w:tc>
        <w:tc>
          <w:tcPr>
            <w:tcW w:w="713" w:type="pct"/>
            <w:tcBorders>
              <w:top w:val="single" w:color="auto" w:sz="4" w:space="0"/>
              <w:left w:val="single" w:color="auto" w:sz="4" w:space="0"/>
              <w:bottom w:val="single" w:color="auto" w:sz="4" w:space="0"/>
              <w:right w:val="single" w:color="auto" w:sz="4" w:space="0"/>
            </w:tcBorders>
            <w:vAlign w:val="center"/>
          </w:tcPr>
          <w:p w14:paraId="1BF1006D">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0.06813</w:t>
            </w:r>
          </w:p>
        </w:tc>
        <w:tc>
          <w:tcPr>
            <w:tcW w:w="713" w:type="pct"/>
            <w:tcBorders>
              <w:top w:val="single" w:color="auto" w:sz="4" w:space="0"/>
              <w:left w:val="nil"/>
              <w:bottom w:val="single" w:color="auto" w:sz="4" w:space="0"/>
              <w:right w:val="single" w:color="auto" w:sz="4" w:space="0"/>
            </w:tcBorders>
            <w:vAlign w:val="center"/>
          </w:tcPr>
          <w:p w14:paraId="7681A7F7">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0.07224</w:t>
            </w:r>
          </w:p>
        </w:tc>
        <w:tc>
          <w:tcPr>
            <w:tcW w:w="713" w:type="pct"/>
            <w:gridSpan w:val="2"/>
            <w:tcBorders>
              <w:top w:val="single" w:color="auto" w:sz="4" w:space="0"/>
              <w:left w:val="nil"/>
              <w:bottom w:val="single" w:color="auto" w:sz="4" w:space="0"/>
              <w:right w:val="single" w:color="auto" w:sz="4" w:space="0"/>
            </w:tcBorders>
            <w:vAlign w:val="center"/>
          </w:tcPr>
          <w:p w14:paraId="165964A4">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0.06810</w:t>
            </w:r>
          </w:p>
        </w:tc>
        <w:tc>
          <w:tcPr>
            <w:tcW w:w="713" w:type="pct"/>
            <w:tcBorders>
              <w:top w:val="single" w:color="auto" w:sz="4" w:space="0"/>
              <w:left w:val="nil"/>
              <w:bottom w:val="single" w:color="auto" w:sz="4" w:space="0"/>
              <w:right w:val="single" w:color="auto" w:sz="4" w:space="0"/>
            </w:tcBorders>
            <w:vAlign w:val="center"/>
          </w:tcPr>
          <w:p w14:paraId="5095F3F6">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0.07254</w:t>
            </w:r>
          </w:p>
        </w:tc>
        <w:tc>
          <w:tcPr>
            <w:tcW w:w="713" w:type="pct"/>
            <w:tcBorders>
              <w:top w:val="single" w:color="auto" w:sz="4" w:space="0"/>
              <w:left w:val="nil"/>
              <w:bottom w:val="single" w:color="auto" w:sz="4" w:space="0"/>
              <w:right w:val="single" w:color="auto" w:sz="4" w:space="0"/>
            </w:tcBorders>
            <w:vAlign w:val="center"/>
          </w:tcPr>
          <w:p w14:paraId="32D260F4">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0.06906</w:t>
            </w:r>
          </w:p>
        </w:tc>
        <w:tc>
          <w:tcPr>
            <w:tcW w:w="716" w:type="pct"/>
            <w:tcBorders>
              <w:top w:val="single" w:color="auto" w:sz="4" w:space="0"/>
              <w:left w:val="single" w:color="auto" w:sz="4" w:space="0"/>
              <w:bottom w:val="single" w:color="auto" w:sz="4" w:space="0"/>
              <w:right w:val="single" w:color="auto" w:sz="4" w:space="0"/>
            </w:tcBorders>
            <w:vAlign w:val="center"/>
          </w:tcPr>
          <w:p w14:paraId="5C0A9358">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0.06615</w:t>
            </w:r>
          </w:p>
        </w:tc>
      </w:tr>
      <w:tr w14:paraId="08A1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vAlign w:val="center"/>
          </w:tcPr>
          <w:p w14:paraId="38D67058">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结果6</w:t>
            </w:r>
          </w:p>
        </w:tc>
        <w:tc>
          <w:tcPr>
            <w:tcW w:w="713" w:type="pct"/>
            <w:tcBorders>
              <w:top w:val="nil"/>
              <w:left w:val="single" w:color="auto" w:sz="4" w:space="0"/>
              <w:bottom w:val="single" w:color="auto" w:sz="4" w:space="0"/>
              <w:right w:val="single" w:color="auto" w:sz="4" w:space="0"/>
            </w:tcBorders>
            <w:vAlign w:val="center"/>
          </w:tcPr>
          <w:p w14:paraId="2520003A">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0.06906</w:t>
            </w:r>
          </w:p>
        </w:tc>
        <w:tc>
          <w:tcPr>
            <w:tcW w:w="713" w:type="pct"/>
            <w:tcBorders>
              <w:top w:val="nil"/>
              <w:left w:val="nil"/>
              <w:bottom w:val="single" w:color="auto" w:sz="4" w:space="0"/>
              <w:right w:val="single" w:color="auto" w:sz="4" w:space="0"/>
            </w:tcBorders>
            <w:vAlign w:val="center"/>
          </w:tcPr>
          <w:p w14:paraId="15CDB755">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0.06972</w:t>
            </w:r>
          </w:p>
        </w:tc>
        <w:tc>
          <w:tcPr>
            <w:tcW w:w="713" w:type="pct"/>
            <w:gridSpan w:val="2"/>
            <w:tcBorders>
              <w:top w:val="nil"/>
              <w:left w:val="nil"/>
              <w:bottom w:val="single" w:color="auto" w:sz="4" w:space="0"/>
              <w:right w:val="single" w:color="auto" w:sz="4" w:space="0"/>
            </w:tcBorders>
            <w:vAlign w:val="center"/>
          </w:tcPr>
          <w:p w14:paraId="6264D09B">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0.06790</w:t>
            </w:r>
          </w:p>
        </w:tc>
        <w:tc>
          <w:tcPr>
            <w:tcW w:w="713" w:type="pct"/>
            <w:tcBorders>
              <w:top w:val="nil"/>
              <w:left w:val="nil"/>
              <w:bottom w:val="single" w:color="auto" w:sz="4" w:space="0"/>
              <w:right w:val="single" w:color="auto" w:sz="4" w:space="0"/>
            </w:tcBorders>
            <w:vAlign w:val="center"/>
          </w:tcPr>
          <w:p w14:paraId="4648CDFD">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0.07281</w:t>
            </w:r>
          </w:p>
        </w:tc>
        <w:tc>
          <w:tcPr>
            <w:tcW w:w="713" w:type="pct"/>
            <w:tcBorders>
              <w:top w:val="nil"/>
              <w:left w:val="nil"/>
              <w:bottom w:val="single" w:color="auto" w:sz="4" w:space="0"/>
              <w:right w:val="single" w:color="auto" w:sz="4" w:space="0"/>
            </w:tcBorders>
            <w:vAlign w:val="center"/>
          </w:tcPr>
          <w:p w14:paraId="17D3BDB5">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0.06922</w:t>
            </w:r>
          </w:p>
        </w:tc>
        <w:tc>
          <w:tcPr>
            <w:tcW w:w="716" w:type="pct"/>
            <w:tcBorders>
              <w:top w:val="nil"/>
              <w:left w:val="single" w:color="auto" w:sz="4" w:space="0"/>
              <w:bottom w:val="single" w:color="auto" w:sz="4" w:space="0"/>
              <w:right w:val="single" w:color="auto" w:sz="4" w:space="0"/>
            </w:tcBorders>
            <w:vAlign w:val="center"/>
          </w:tcPr>
          <w:p w14:paraId="2A46C394">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0.06725</w:t>
            </w:r>
          </w:p>
        </w:tc>
      </w:tr>
      <w:tr w14:paraId="40EC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vAlign w:val="center"/>
          </w:tcPr>
          <w:p w14:paraId="398AE00D">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结果7</w:t>
            </w:r>
          </w:p>
        </w:tc>
        <w:tc>
          <w:tcPr>
            <w:tcW w:w="713" w:type="pct"/>
            <w:tcBorders>
              <w:top w:val="nil"/>
              <w:left w:val="single" w:color="auto" w:sz="4" w:space="0"/>
              <w:bottom w:val="single" w:color="auto" w:sz="4" w:space="0"/>
              <w:right w:val="single" w:color="auto" w:sz="4" w:space="0"/>
            </w:tcBorders>
            <w:vAlign w:val="center"/>
          </w:tcPr>
          <w:p w14:paraId="6B612A87">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0.07163</w:t>
            </w:r>
          </w:p>
        </w:tc>
        <w:tc>
          <w:tcPr>
            <w:tcW w:w="713" w:type="pct"/>
            <w:tcBorders>
              <w:top w:val="nil"/>
              <w:left w:val="nil"/>
              <w:bottom w:val="single" w:color="auto" w:sz="4" w:space="0"/>
              <w:right w:val="single" w:color="auto" w:sz="4" w:space="0"/>
            </w:tcBorders>
            <w:vAlign w:val="center"/>
          </w:tcPr>
          <w:p w14:paraId="1B3760F6">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0.07224</w:t>
            </w:r>
          </w:p>
        </w:tc>
        <w:tc>
          <w:tcPr>
            <w:tcW w:w="713" w:type="pct"/>
            <w:gridSpan w:val="2"/>
            <w:tcBorders>
              <w:top w:val="nil"/>
              <w:left w:val="nil"/>
              <w:bottom w:val="single" w:color="auto" w:sz="4" w:space="0"/>
              <w:right w:val="single" w:color="auto" w:sz="4" w:space="0"/>
            </w:tcBorders>
            <w:vAlign w:val="center"/>
          </w:tcPr>
          <w:p w14:paraId="4D862737">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0.06780</w:t>
            </w:r>
          </w:p>
        </w:tc>
        <w:tc>
          <w:tcPr>
            <w:tcW w:w="713" w:type="pct"/>
            <w:tcBorders>
              <w:top w:val="nil"/>
              <w:left w:val="nil"/>
              <w:bottom w:val="single" w:color="auto" w:sz="4" w:space="0"/>
              <w:right w:val="single" w:color="auto" w:sz="4" w:space="0"/>
            </w:tcBorders>
            <w:vAlign w:val="center"/>
          </w:tcPr>
          <w:p w14:paraId="3F9268C5">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0.07126</w:t>
            </w:r>
          </w:p>
        </w:tc>
        <w:tc>
          <w:tcPr>
            <w:tcW w:w="713" w:type="pct"/>
            <w:tcBorders>
              <w:top w:val="nil"/>
              <w:left w:val="nil"/>
              <w:bottom w:val="single" w:color="auto" w:sz="4" w:space="0"/>
              <w:right w:val="single" w:color="auto" w:sz="4" w:space="0"/>
            </w:tcBorders>
            <w:vAlign w:val="center"/>
          </w:tcPr>
          <w:p w14:paraId="162D4B40">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0.06836</w:t>
            </w:r>
          </w:p>
        </w:tc>
        <w:tc>
          <w:tcPr>
            <w:tcW w:w="716" w:type="pct"/>
            <w:tcBorders>
              <w:top w:val="nil"/>
              <w:left w:val="single" w:color="auto" w:sz="4" w:space="0"/>
              <w:bottom w:val="single" w:color="auto" w:sz="4" w:space="0"/>
              <w:right w:val="single" w:color="auto" w:sz="4" w:space="0"/>
            </w:tcBorders>
            <w:vAlign w:val="center"/>
          </w:tcPr>
          <w:p w14:paraId="24B2EEB7">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0.06678</w:t>
            </w:r>
          </w:p>
        </w:tc>
      </w:tr>
      <w:tr w14:paraId="5A97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vAlign w:val="center"/>
          </w:tcPr>
          <w:p w14:paraId="0206EA38">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结果8</w:t>
            </w:r>
          </w:p>
        </w:tc>
        <w:tc>
          <w:tcPr>
            <w:tcW w:w="713" w:type="pct"/>
            <w:tcBorders>
              <w:top w:val="nil"/>
              <w:left w:val="single" w:color="auto" w:sz="8" w:space="0"/>
              <w:bottom w:val="single" w:color="auto" w:sz="8" w:space="0"/>
              <w:right w:val="single" w:color="auto" w:sz="8" w:space="0"/>
            </w:tcBorders>
            <w:vAlign w:val="center"/>
          </w:tcPr>
          <w:p w14:paraId="594FED57">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0.06961</w:t>
            </w:r>
          </w:p>
        </w:tc>
        <w:tc>
          <w:tcPr>
            <w:tcW w:w="713" w:type="pct"/>
            <w:tcBorders>
              <w:top w:val="nil"/>
              <w:left w:val="nil"/>
              <w:bottom w:val="single" w:color="auto" w:sz="4" w:space="0"/>
              <w:right w:val="single" w:color="auto" w:sz="4" w:space="0"/>
            </w:tcBorders>
            <w:vAlign w:val="center"/>
          </w:tcPr>
          <w:p w14:paraId="7370AC77">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0.06888</w:t>
            </w:r>
          </w:p>
        </w:tc>
        <w:tc>
          <w:tcPr>
            <w:tcW w:w="713" w:type="pct"/>
            <w:gridSpan w:val="2"/>
            <w:tcBorders>
              <w:top w:val="nil"/>
              <w:left w:val="nil"/>
              <w:bottom w:val="single" w:color="auto" w:sz="4" w:space="0"/>
              <w:right w:val="single" w:color="auto" w:sz="4" w:space="0"/>
            </w:tcBorders>
            <w:vAlign w:val="center"/>
          </w:tcPr>
          <w:p w14:paraId="39635561">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0.06780</w:t>
            </w:r>
          </w:p>
        </w:tc>
        <w:tc>
          <w:tcPr>
            <w:tcW w:w="713" w:type="pct"/>
            <w:tcBorders>
              <w:top w:val="nil"/>
              <w:left w:val="nil"/>
              <w:bottom w:val="single" w:color="auto" w:sz="4" w:space="0"/>
              <w:right w:val="single" w:color="auto" w:sz="4" w:space="0"/>
            </w:tcBorders>
            <w:vAlign w:val="center"/>
          </w:tcPr>
          <w:p w14:paraId="1A389417">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0.07113</w:t>
            </w:r>
          </w:p>
        </w:tc>
        <w:tc>
          <w:tcPr>
            <w:tcW w:w="713" w:type="pct"/>
            <w:tcBorders>
              <w:top w:val="nil"/>
              <w:left w:val="nil"/>
              <w:bottom w:val="single" w:color="auto" w:sz="4" w:space="0"/>
              <w:right w:val="single" w:color="auto" w:sz="4" w:space="0"/>
            </w:tcBorders>
            <w:vAlign w:val="center"/>
          </w:tcPr>
          <w:p w14:paraId="04CF56C6">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0.06466</w:t>
            </w:r>
          </w:p>
        </w:tc>
        <w:tc>
          <w:tcPr>
            <w:tcW w:w="716" w:type="pct"/>
            <w:tcBorders>
              <w:top w:val="nil"/>
              <w:left w:val="single" w:color="auto" w:sz="4" w:space="0"/>
              <w:bottom w:val="single" w:color="auto" w:sz="4" w:space="0"/>
              <w:right w:val="single" w:color="auto" w:sz="4" w:space="0"/>
            </w:tcBorders>
            <w:vAlign w:val="center"/>
          </w:tcPr>
          <w:p w14:paraId="5DAE2C2D">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0.06649</w:t>
            </w:r>
          </w:p>
        </w:tc>
      </w:tr>
      <w:tr w14:paraId="5037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tcBorders>
              <w:bottom w:val="single" w:color="auto" w:sz="4" w:space="0"/>
            </w:tcBorders>
            <w:vAlign w:val="center"/>
          </w:tcPr>
          <w:p w14:paraId="0C52E251">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结果9</w:t>
            </w:r>
          </w:p>
        </w:tc>
        <w:tc>
          <w:tcPr>
            <w:tcW w:w="713" w:type="pct"/>
            <w:tcBorders>
              <w:top w:val="single" w:color="auto" w:sz="4" w:space="0"/>
              <w:left w:val="single" w:color="auto" w:sz="4" w:space="0"/>
              <w:bottom w:val="single" w:color="auto" w:sz="4" w:space="0"/>
              <w:right w:val="single" w:color="auto" w:sz="4" w:space="0"/>
            </w:tcBorders>
            <w:vAlign w:val="center"/>
          </w:tcPr>
          <w:p w14:paraId="5C43E3C5">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0.07065</w:t>
            </w:r>
          </w:p>
        </w:tc>
        <w:tc>
          <w:tcPr>
            <w:tcW w:w="713" w:type="pct"/>
            <w:tcBorders>
              <w:top w:val="nil"/>
              <w:left w:val="nil"/>
              <w:bottom w:val="single" w:color="auto" w:sz="4" w:space="0"/>
              <w:right w:val="single" w:color="auto" w:sz="4" w:space="0"/>
            </w:tcBorders>
            <w:vAlign w:val="center"/>
          </w:tcPr>
          <w:p w14:paraId="4AC17514">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0.07140</w:t>
            </w:r>
          </w:p>
        </w:tc>
        <w:tc>
          <w:tcPr>
            <w:tcW w:w="713" w:type="pct"/>
            <w:gridSpan w:val="2"/>
            <w:tcBorders>
              <w:top w:val="nil"/>
              <w:left w:val="nil"/>
              <w:bottom w:val="single" w:color="auto" w:sz="4" w:space="0"/>
              <w:right w:val="single" w:color="auto" w:sz="4" w:space="0"/>
            </w:tcBorders>
            <w:vAlign w:val="center"/>
          </w:tcPr>
          <w:p w14:paraId="74FF3BF3">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0.06770</w:t>
            </w:r>
          </w:p>
        </w:tc>
        <w:tc>
          <w:tcPr>
            <w:tcW w:w="713" w:type="pct"/>
            <w:tcBorders>
              <w:top w:val="nil"/>
              <w:left w:val="nil"/>
              <w:bottom w:val="single" w:color="auto" w:sz="4" w:space="0"/>
              <w:right w:val="single" w:color="auto" w:sz="4" w:space="0"/>
            </w:tcBorders>
            <w:vAlign w:val="center"/>
          </w:tcPr>
          <w:p w14:paraId="6C4D633A">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0.07302</w:t>
            </w:r>
          </w:p>
        </w:tc>
        <w:tc>
          <w:tcPr>
            <w:tcW w:w="713" w:type="pct"/>
            <w:tcBorders>
              <w:top w:val="nil"/>
              <w:left w:val="nil"/>
              <w:bottom w:val="single" w:color="auto" w:sz="4" w:space="0"/>
              <w:right w:val="single" w:color="auto" w:sz="4" w:space="0"/>
            </w:tcBorders>
            <w:vAlign w:val="center"/>
          </w:tcPr>
          <w:p w14:paraId="7F205A20">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0.06867</w:t>
            </w:r>
          </w:p>
        </w:tc>
        <w:tc>
          <w:tcPr>
            <w:tcW w:w="716" w:type="pct"/>
            <w:tcBorders>
              <w:top w:val="nil"/>
              <w:left w:val="single" w:color="auto" w:sz="4" w:space="0"/>
              <w:bottom w:val="single" w:color="auto" w:sz="4" w:space="0"/>
              <w:right w:val="single" w:color="auto" w:sz="4" w:space="0"/>
            </w:tcBorders>
            <w:vAlign w:val="center"/>
          </w:tcPr>
          <w:p w14:paraId="4ECE97C1">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0.06620</w:t>
            </w:r>
          </w:p>
        </w:tc>
      </w:tr>
      <w:tr w14:paraId="7D8A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tcBorders>
              <w:top w:val="single" w:color="auto" w:sz="4" w:space="0"/>
              <w:left w:val="single" w:color="auto" w:sz="4" w:space="0"/>
              <w:bottom w:val="single" w:color="auto" w:sz="4" w:space="0"/>
              <w:right w:val="single" w:color="auto" w:sz="4" w:space="0"/>
            </w:tcBorders>
            <w:vAlign w:val="center"/>
          </w:tcPr>
          <w:p w14:paraId="48AA4E5D">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平均值</w:t>
            </w:r>
          </w:p>
        </w:tc>
        <w:tc>
          <w:tcPr>
            <w:tcW w:w="713" w:type="pct"/>
            <w:tcBorders>
              <w:top w:val="single" w:color="auto" w:sz="4" w:space="0"/>
              <w:left w:val="single" w:color="auto" w:sz="4" w:space="0"/>
              <w:bottom w:val="single" w:color="auto" w:sz="4" w:space="0"/>
              <w:right w:val="single" w:color="auto" w:sz="4" w:space="0"/>
            </w:tcBorders>
            <w:vAlign w:val="center"/>
          </w:tcPr>
          <w:p w14:paraId="1EAC44E7">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0.06912</w:t>
            </w:r>
          </w:p>
        </w:tc>
        <w:tc>
          <w:tcPr>
            <w:tcW w:w="713" w:type="pct"/>
            <w:tcBorders>
              <w:top w:val="single" w:color="auto" w:sz="4" w:space="0"/>
              <w:left w:val="single" w:color="auto" w:sz="4" w:space="0"/>
              <w:bottom w:val="single" w:color="auto" w:sz="4" w:space="0"/>
              <w:right w:val="single" w:color="auto" w:sz="4" w:space="0"/>
            </w:tcBorders>
            <w:vAlign w:val="center"/>
          </w:tcPr>
          <w:p w14:paraId="5223E7C2">
            <w:pPr>
              <w:widowControl/>
              <w:wordWrap w:val="0"/>
              <w:autoSpaceDE w:val="0"/>
              <w:autoSpaceDN w:val="0"/>
              <w:snapToGrid w:val="0"/>
              <w:spacing w:before="78" w:beforeLines="25" w:line="360" w:lineRule="auto"/>
              <w:jc w:val="center"/>
              <w:textAlignment w:val="bottom"/>
              <w:rPr>
                <w:rFonts w:ascii="Times New Roman" w:hAnsi="Times New Roman"/>
                <w:bCs/>
                <w:highlight w:val="yellow"/>
              </w:rPr>
            </w:pPr>
            <w:r>
              <w:rPr>
                <w:rFonts w:ascii="Times New Roman" w:hAnsi="Times New Roman"/>
                <w:bCs/>
              </w:rPr>
              <w:t>0.07065</w:t>
            </w:r>
          </w:p>
        </w:tc>
        <w:tc>
          <w:tcPr>
            <w:tcW w:w="713" w:type="pct"/>
            <w:gridSpan w:val="2"/>
            <w:tcBorders>
              <w:top w:val="single" w:color="auto" w:sz="4" w:space="0"/>
              <w:left w:val="single" w:color="auto" w:sz="4" w:space="0"/>
              <w:bottom w:val="single" w:color="auto" w:sz="4" w:space="0"/>
              <w:right w:val="single" w:color="auto" w:sz="4" w:space="0"/>
            </w:tcBorders>
            <w:vAlign w:val="center"/>
          </w:tcPr>
          <w:p w14:paraId="50835DA9">
            <w:pPr>
              <w:widowControl/>
              <w:wordWrap w:val="0"/>
              <w:autoSpaceDE w:val="0"/>
              <w:autoSpaceDN w:val="0"/>
              <w:snapToGrid w:val="0"/>
              <w:spacing w:before="78" w:beforeLines="25" w:line="360" w:lineRule="auto"/>
              <w:ind w:firstLine="199" w:firstLineChars="95"/>
              <w:jc w:val="center"/>
              <w:rPr>
                <w:rFonts w:ascii="Times New Roman" w:hAnsi="Times New Roman"/>
                <w:bCs/>
                <w:color w:val="231F20"/>
              </w:rPr>
            </w:pPr>
            <w:r>
              <w:rPr>
                <w:rFonts w:ascii="Times New Roman" w:hAnsi="Times New Roman"/>
                <w:bCs/>
                <w:color w:val="231F20"/>
              </w:rPr>
              <w:t>0.06811</w:t>
            </w:r>
          </w:p>
        </w:tc>
        <w:tc>
          <w:tcPr>
            <w:tcW w:w="713" w:type="pct"/>
            <w:tcBorders>
              <w:top w:val="single" w:color="auto" w:sz="4" w:space="0"/>
              <w:left w:val="single" w:color="auto" w:sz="4" w:space="0"/>
              <w:bottom w:val="single" w:color="auto" w:sz="4" w:space="0"/>
              <w:right w:val="single" w:color="auto" w:sz="4" w:space="0"/>
            </w:tcBorders>
            <w:vAlign w:val="center"/>
          </w:tcPr>
          <w:p w14:paraId="34800DCD">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0.07225</w:t>
            </w:r>
          </w:p>
        </w:tc>
        <w:tc>
          <w:tcPr>
            <w:tcW w:w="713" w:type="pct"/>
            <w:tcBorders>
              <w:top w:val="single" w:color="auto" w:sz="4" w:space="0"/>
              <w:left w:val="single" w:color="auto" w:sz="4" w:space="0"/>
              <w:bottom w:val="single" w:color="auto" w:sz="4" w:space="0"/>
              <w:right w:val="single" w:color="auto" w:sz="4" w:space="0"/>
            </w:tcBorders>
            <w:vAlign w:val="center"/>
          </w:tcPr>
          <w:p w14:paraId="4837FD83">
            <w:pPr>
              <w:widowControl/>
              <w:wordWrap w:val="0"/>
              <w:autoSpaceDE w:val="0"/>
              <w:autoSpaceDN w:val="0"/>
              <w:snapToGrid w:val="0"/>
              <w:spacing w:before="78" w:beforeLines="25" w:line="360" w:lineRule="auto"/>
              <w:jc w:val="center"/>
              <w:textAlignment w:val="bottom"/>
              <w:rPr>
                <w:rFonts w:ascii="Times New Roman" w:hAnsi="Times New Roman"/>
                <w:bCs/>
              </w:rPr>
            </w:pPr>
            <w:r>
              <w:rPr>
                <w:rFonts w:ascii="Times New Roman" w:hAnsi="Times New Roman"/>
                <w:bCs/>
              </w:rPr>
              <w:t>0.06846</w:t>
            </w:r>
          </w:p>
        </w:tc>
        <w:tc>
          <w:tcPr>
            <w:tcW w:w="716" w:type="pct"/>
            <w:tcBorders>
              <w:top w:val="single" w:color="auto" w:sz="4" w:space="0"/>
              <w:left w:val="single" w:color="auto" w:sz="4" w:space="0"/>
              <w:bottom w:val="single" w:color="auto" w:sz="4" w:space="0"/>
              <w:right w:val="single" w:color="auto" w:sz="4" w:space="0"/>
            </w:tcBorders>
            <w:vAlign w:val="center"/>
          </w:tcPr>
          <w:p w14:paraId="2A0BE312">
            <w:pPr>
              <w:widowControl/>
              <w:wordWrap w:val="0"/>
              <w:autoSpaceDE w:val="0"/>
              <w:autoSpaceDN w:val="0"/>
              <w:snapToGrid w:val="0"/>
              <w:spacing w:before="78" w:beforeLines="25" w:line="360" w:lineRule="auto"/>
              <w:ind w:firstLine="199" w:firstLineChars="95"/>
              <w:jc w:val="center"/>
              <w:textAlignment w:val="bottom"/>
              <w:rPr>
                <w:rFonts w:ascii="Times New Roman" w:hAnsi="Times New Roman"/>
                <w:bCs/>
              </w:rPr>
            </w:pPr>
            <w:r>
              <w:rPr>
                <w:rFonts w:ascii="Times New Roman" w:hAnsi="Times New Roman"/>
                <w:bCs/>
              </w:rPr>
              <w:t>0.06684</w:t>
            </w:r>
          </w:p>
        </w:tc>
      </w:tr>
      <w:tr w14:paraId="2626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3" w:type="pct"/>
            <w:tcBorders>
              <w:top w:val="single" w:color="auto" w:sz="4" w:space="0"/>
              <w:bottom w:val="single" w:color="auto" w:sz="4" w:space="0"/>
            </w:tcBorders>
            <w:vAlign w:val="center"/>
          </w:tcPr>
          <w:p w14:paraId="66D910F1">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标准偏差</w:t>
            </w:r>
          </w:p>
        </w:tc>
        <w:tc>
          <w:tcPr>
            <w:tcW w:w="713" w:type="pct"/>
            <w:tcBorders>
              <w:top w:val="single" w:color="auto" w:sz="4" w:space="0"/>
              <w:left w:val="nil"/>
              <w:bottom w:val="single" w:color="auto" w:sz="4" w:space="0"/>
              <w:right w:val="single" w:color="auto" w:sz="4" w:space="0"/>
            </w:tcBorders>
            <w:vAlign w:val="center"/>
          </w:tcPr>
          <w:p w14:paraId="79342F6F">
            <w:pPr>
              <w:widowControl/>
              <w:wordWrap w:val="0"/>
              <w:autoSpaceDE w:val="0"/>
              <w:autoSpaceDN w:val="0"/>
              <w:snapToGrid w:val="0"/>
              <w:spacing w:before="78" w:beforeLines="25" w:line="360" w:lineRule="auto"/>
              <w:jc w:val="center"/>
              <w:textAlignment w:val="center"/>
              <w:rPr>
                <w:rFonts w:ascii="Times New Roman" w:hAnsi="Times New Roman"/>
                <w:bCs/>
              </w:rPr>
            </w:pPr>
            <w:r>
              <w:rPr>
                <w:rFonts w:ascii="Times New Roman" w:hAnsi="Times New Roman"/>
                <w:bCs/>
              </w:rPr>
              <w:t>0.0013</w:t>
            </w:r>
          </w:p>
        </w:tc>
        <w:tc>
          <w:tcPr>
            <w:tcW w:w="713" w:type="pct"/>
            <w:tcBorders>
              <w:top w:val="single" w:color="auto" w:sz="4" w:space="0"/>
              <w:left w:val="single" w:color="auto" w:sz="4" w:space="0"/>
              <w:bottom w:val="single" w:color="auto" w:sz="4" w:space="0"/>
              <w:right w:val="single" w:color="auto" w:sz="4" w:space="0"/>
            </w:tcBorders>
            <w:vAlign w:val="center"/>
          </w:tcPr>
          <w:p w14:paraId="405E33E9">
            <w:pPr>
              <w:widowControl/>
              <w:wordWrap w:val="0"/>
              <w:autoSpaceDE w:val="0"/>
              <w:autoSpaceDN w:val="0"/>
              <w:snapToGrid w:val="0"/>
              <w:spacing w:before="78" w:beforeLines="25" w:line="360" w:lineRule="auto"/>
              <w:jc w:val="center"/>
              <w:textAlignment w:val="center"/>
              <w:rPr>
                <w:rFonts w:ascii="Times New Roman" w:hAnsi="Times New Roman"/>
                <w:bCs/>
              </w:rPr>
            </w:pPr>
            <w:r>
              <w:rPr>
                <w:rFonts w:ascii="Times New Roman" w:hAnsi="Times New Roman"/>
                <w:bCs/>
              </w:rPr>
              <w:t>0.0016</w:t>
            </w:r>
          </w:p>
        </w:tc>
        <w:tc>
          <w:tcPr>
            <w:tcW w:w="713" w:type="pct"/>
            <w:gridSpan w:val="2"/>
            <w:tcBorders>
              <w:top w:val="single" w:color="auto" w:sz="4" w:space="0"/>
              <w:left w:val="single" w:color="auto" w:sz="4" w:space="0"/>
              <w:bottom w:val="single" w:color="auto" w:sz="4" w:space="0"/>
              <w:right w:val="single" w:color="auto" w:sz="4" w:space="0"/>
            </w:tcBorders>
            <w:vAlign w:val="center"/>
          </w:tcPr>
          <w:p w14:paraId="7BE00FCA">
            <w:pPr>
              <w:widowControl/>
              <w:wordWrap w:val="0"/>
              <w:autoSpaceDE w:val="0"/>
              <w:autoSpaceDN w:val="0"/>
              <w:snapToGrid w:val="0"/>
              <w:spacing w:before="78" w:beforeLines="25" w:line="360" w:lineRule="auto"/>
              <w:ind w:firstLine="199" w:firstLineChars="95"/>
              <w:jc w:val="center"/>
              <w:textAlignment w:val="center"/>
              <w:rPr>
                <w:rFonts w:ascii="Times New Roman" w:hAnsi="Times New Roman"/>
                <w:bCs/>
                <w:color w:val="231F20"/>
              </w:rPr>
            </w:pPr>
            <w:r>
              <w:rPr>
                <w:rFonts w:ascii="Times New Roman" w:hAnsi="Times New Roman"/>
                <w:bCs/>
              </w:rPr>
              <w:t>0.0006</w:t>
            </w:r>
          </w:p>
        </w:tc>
        <w:tc>
          <w:tcPr>
            <w:tcW w:w="713" w:type="pct"/>
            <w:tcBorders>
              <w:top w:val="single" w:color="auto" w:sz="4" w:space="0"/>
              <w:left w:val="single" w:color="auto" w:sz="4" w:space="0"/>
              <w:bottom w:val="single" w:color="auto" w:sz="4" w:space="0"/>
              <w:right w:val="single" w:color="auto" w:sz="4" w:space="0"/>
            </w:tcBorders>
            <w:vAlign w:val="center"/>
          </w:tcPr>
          <w:p w14:paraId="15BF9F57">
            <w:pPr>
              <w:widowControl/>
              <w:wordWrap w:val="0"/>
              <w:autoSpaceDE w:val="0"/>
              <w:autoSpaceDN w:val="0"/>
              <w:snapToGrid w:val="0"/>
              <w:spacing w:before="78" w:beforeLines="25" w:line="360" w:lineRule="auto"/>
              <w:jc w:val="center"/>
              <w:textAlignment w:val="center"/>
              <w:rPr>
                <w:rFonts w:ascii="Times New Roman" w:hAnsi="Times New Roman"/>
                <w:bCs/>
                <w:color w:val="231F20"/>
              </w:rPr>
            </w:pPr>
            <w:r>
              <w:rPr>
                <w:rFonts w:ascii="Times New Roman" w:hAnsi="Times New Roman"/>
                <w:bCs/>
              </w:rPr>
              <w:t>0.0012</w:t>
            </w:r>
          </w:p>
        </w:tc>
        <w:tc>
          <w:tcPr>
            <w:tcW w:w="713" w:type="pct"/>
            <w:tcBorders>
              <w:top w:val="single" w:color="auto" w:sz="4" w:space="0"/>
              <w:left w:val="single" w:color="auto" w:sz="4" w:space="0"/>
              <w:bottom w:val="single" w:color="auto" w:sz="4" w:space="0"/>
              <w:right w:val="single" w:color="auto" w:sz="4" w:space="0"/>
            </w:tcBorders>
            <w:vAlign w:val="center"/>
          </w:tcPr>
          <w:p w14:paraId="46A17F24">
            <w:pPr>
              <w:widowControl/>
              <w:wordWrap w:val="0"/>
              <w:autoSpaceDE w:val="0"/>
              <w:autoSpaceDN w:val="0"/>
              <w:snapToGrid w:val="0"/>
              <w:spacing w:before="78" w:beforeLines="25" w:line="360" w:lineRule="auto"/>
              <w:jc w:val="center"/>
              <w:textAlignment w:val="center"/>
              <w:rPr>
                <w:rFonts w:ascii="Times New Roman" w:hAnsi="Times New Roman"/>
                <w:bCs/>
              </w:rPr>
            </w:pPr>
            <w:r>
              <w:rPr>
                <w:rFonts w:ascii="Times New Roman" w:hAnsi="Times New Roman"/>
                <w:bCs/>
              </w:rPr>
              <w:t>0.0004</w:t>
            </w:r>
          </w:p>
        </w:tc>
        <w:tc>
          <w:tcPr>
            <w:tcW w:w="716" w:type="pct"/>
            <w:tcBorders>
              <w:top w:val="single" w:color="auto" w:sz="4" w:space="0"/>
              <w:left w:val="single" w:color="auto" w:sz="4" w:space="0"/>
              <w:bottom w:val="single" w:color="auto" w:sz="4" w:space="0"/>
              <w:right w:val="single" w:color="auto" w:sz="4" w:space="0"/>
            </w:tcBorders>
            <w:vAlign w:val="center"/>
          </w:tcPr>
          <w:p w14:paraId="3ED2AAE3">
            <w:pPr>
              <w:widowControl/>
              <w:wordWrap w:val="0"/>
              <w:autoSpaceDE w:val="0"/>
              <w:autoSpaceDN w:val="0"/>
              <w:snapToGrid w:val="0"/>
              <w:spacing w:before="78" w:beforeLines="25" w:line="360" w:lineRule="auto"/>
              <w:ind w:firstLine="199" w:firstLineChars="95"/>
              <w:jc w:val="center"/>
              <w:textAlignment w:val="center"/>
              <w:rPr>
                <w:rFonts w:ascii="Times New Roman" w:hAnsi="Times New Roman"/>
                <w:bCs/>
              </w:rPr>
            </w:pPr>
            <w:r>
              <w:rPr>
                <w:rFonts w:ascii="Times New Roman" w:hAnsi="Times New Roman"/>
                <w:bCs/>
              </w:rPr>
              <w:t>0.0008</w:t>
            </w:r>
          </w:p>
        </w:tc>
      </w:tr>
      <w:tr w14:paraId="07ED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500" w:type="pct"/>
            <w:gridSpan w:val="4"/>
            <w:tcBorders>
              <w:top w:val="single" w:color="auto" w:sz="4" w:space="0"/>
            </w:tcBorders>
            <w:vAlign w:val="center"/>
          </w:tcPr>
          <w:p w14:paraId="76AADA0B">
            <w:pPr>
              <w:widowControl/>
              <w:wordWrap w:val="0"/>
              <w:autoSpaceDE w:val="0"/>
              <w:autoSpaceDN w:val="0"/>
              <w:snapToGrid w:val="0"/>
              <w:spacing w:before="78" w:beforeLines="25" w:line="360" w:lineRule="auto"/>
              <w:jc w:val="center"/>
              <w:rPr>
                <w:rFonts w:ascii="Times New Roman" w:hAnsi="Times New Roman"/>
                <w:bCs/>
                <w:color w:val="231F20"/>
              </w:rPr>
            </w:pPr>
            <w:r>
              <w:rPr>
                <w:rFonts w:ascii="Times New Roman" w:hAnsi="Times New Roman"/>
                <w:bCs/>
                <w:color w:val="231F20"/>
              </w:rPr>
              <w:t>平均值</w:t>
            </w:r>
          </w:p>
        </w:tc>
        <w:tc>
          <w:tcPr>
            <w:tcW w:w="2500" w:type="pct"/>
            <w:gridSpan w:val="4"/>
            <w:tcBorders>
              <w:top w:val="single" w:color="auto" w:sz="4" w:space="0"/>
              <w:left w:val="nil"/>
              <w:bottom w:val="single" w:color="auto" w:sz="4" w:space="0"/>
              <w:right w:val="single" w:color="auto" w:sz="4" w:space="0"/>
            </w:tcBorders>
            <w:vAlign w:val="center"/>
          </w:tcPr>
          <w:p w14:paraId="7867E70E">
            <w:pPr>
              <w:widowControl/>
              <w:wordWrap w:val="0"/>
              <w:autoSpaceDE w:val="0"/>
              <w:autoSpaceDN w:val="0"/>
              <w:snapToGrid w:val="0"/>
              <w:spacing w:before="78" w:beforeLines="25" w:line="360" w:lineRule="auto"/>
              <w:ind w:firstLine="420"/>
              <w:jc w:val="center"/>
              <w:rPr>
                <w:rFonts w:ascii="Times New Roman" w:hAnsi="Times New Roman"/>
                <w:bCs/>
              </w:rPr>
            </w:pPr>
            <w:r>
              <w:rPr>
                <w:rFonts w:ascii="Times New Roman" w:hAnsi="Times New Roman"/>
                <w:bCs/>
              </w:rPr>
              <w:t>0.06924</w:t>
            </w:r>
          </w:p>
        </w:tc>
      </w:tr>
    </w:tbl>
    <w:p w14:paraId="34987AD0">
      <w:pPr>
        <w:widowControl/>
        <w:wordWrap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首先，对所有数据进行正态D检验法（达戈斯提诺法），检验结果D值为0.2825大于临界值0.2757小于临界值0.2852；因此，数据符合正态分布；其次，再根据《GB/T 4883-2008 数据的统计处理和解释-正态样本离群值的判断和处理》采用狄克逊准则对各实验室定值数据进行统计检验，将DHA定值结果按照由小到大的顺序排序：X</w:t>
      </w:r>
      <w:r>
        <w:rPr>
          <w:rFonts w:ascii="Times New Roman" w:hAnsi="Times New Roman"/>
          <w:vertAlign w:val="subscript"/>
        </w:rPr>
        <w:t>（1）</w:t>
      </w:r>
      <w:r>
        <w:rPr>
          <w:rFonts w:ascii="Times New Roman" w:hAnsi="Times New Roman"/>
        </w:rPr>
        <w:t>=0.06466，X</w:t>
      </w:r>
      <w:r>
        <w:rPr>
          <w:rFonts w:ascii="Times New Roman" w:hAnsi="Times New Roman"/>
          <w:vertAlign w:val="subscript"/>
        </w:rPr>
        <w:t>（2）</w:t>
      </w:r>
      <w:r>
        <w:rPr>
          <w:rFonts w:ascii="Times New Roman" w:hAnsi="Times New Roman"/>
        </w:rPr>
        <w:t>=0.06615，X</w:t>
      </w:r>
      <w:r>
        <w:rPr>
          <w:rFonts w:ascii="Times New Roman" w:hAnsi="Times New Roman"/>
          <w:vertAlign w:val="subscript"/>
        </w:rPr>
        <w:t>（3）</w:t>
      </w:r>
      <w:r>
        <w:rPr>
          <w:rFonts w:ascii="Times New Roman" w:hAnsi="Times New Roman"/>
        </w:rPr>
        <w:t>=0.06620，X</w:t>
      </w:r>
      <w:r>
        <w:rPr>
          <w:rFonts w:ascii="Times New Roman" w:hAnsi="Times New Roman"/>
          <w:vertAlign w:val="subscript"/>
        </w:rPr>
        <w:t>（4）</w:t>
      </w:r>
      <w:r>
        <w:rPr>
          <w:rFonts w:ascii="Times New Roman" w:hAnsi="Times New Roman"/>
        </w:rPr>
        <w:t>=0.06637，……X</w:t>
      </w:r>
      <w:r>
        <w:rPr>
          <w:rFonts w:ascii="Times New Roman" w:hAnsi="Times New Roman"/>
          <w:vertAlign w:val="subscript"/>
        </w:rPr>
        <w:t>（n-2）</w:t>
      </w:r>
      <w:r>
        <w:rPr>
          <w:rFonts w:ascii="Times New Roman" w:hAnsi="Times New Roman"/>
        </w:rPr>
        <w:t>=0.07281，X</w:t>
      </w:r>
      <w:r>
        <w:rPr>
          <w:rFonts w:ascii="Times New Roman" w:hAnsi="Times New Roman"/>
          <w:vertAlign w:val="subscript"/>
        </w:rPr>
        <w:t>（n-1）</w:t>
      </w:r>
      <w:r>
        <w:rPr>
          <w:rFonts w:ascii="Times New Roman" w:hAnsi="Times New Roman"/>
        </w:rPr>
        <w:t>=0.07302，X</w:t>
      </w:r>
      <w:r>
        <w:rPr>
          <w:rFonts w:ascii="Times New Roman" w:hAnsi="Times New Roman"/>
          <w:vertAlign w:val="subscript"/>
        </w:rPr>
        <w:t>（n）</w:t>
      </w:r>
      <w:r>
        <w:rPr>
          <w:rFonts w:ascii="Times New Roman" w:hAnsi="Times New Roman"/>
        </w:rPr>
        <w:t>=0.07323</w:t>
      </w:r>
      <w:r>
        <w:rPr>
          <w:rFonts w:hint="eastAsia" w:ascii="Times New Roman" w:hAnsi="Times New Roman"/>
        </w:rPr>
        <w:t>；</w:t>
      </w:r>
      <w:r>
        <w:rPr>
          <w:rFonts w:ascii="Times New Roman" w:hAnsi="Times New Roman"/>
        </w:rPr>
        <w:t>n=54，由狄克逊检验表查ƒ（0.05,54）=0.32</w:t>
      </w:r>
      <w:r>
        <w:rPr>
          <w:rFonts w:hint="eastAsia" w:ascii="Times New Roman" w:hAnsi="Times New Roman"/>
        </w:rPr>
        <w:t>。</w:t>
      </w:r>
    </w:p>
    <w:p w14:paraId="5634DC8D">
      <w:pPr>
        <w:widowControl/>
        <w:wordWrap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又因为</w:t>
      </w:r>
    </w:p>
    <w:p w14:paraId="7F19AD67">
      <w:pPr>
        <w:widowControl/>
        <w:kinsoku w:val="0"/>
        <w:autoSpaceDE w:val="0"/>
        <w:autoSpaceDN w:val="0"/>
        <w:snapToGrid w:val="0"/>
        <w:spacing w:line="360" w:lineRule="auto"/>
        <w:ind w:firstLine="420"/>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r</m:t>
              </m:r>
              <m:ctrlPr>
                <w:rPr>
                  <w:rFonts w:ascii="Cambria Math" w:hAnsi="Cambria Math"/>
                </w:rPr>
              </m:ctrlPr>
            </m:e>
            <m:sub>
              <m:r>
                <m:rPr>
                  <m:nor/>
                  <m:sty m:val="p"/>
                </m:rPr>
                <w:rPr>
                  <w:rFonts w:ascii="Times New Roman" w:hAnsi="Times New Roman"/>
                  <w:b w:val="0"/>
                  <w:i w:val="0"/>
                </w:rPr>
                <m:t>1</m:t>
              </m:r>
              <m:ctrlPr>
                <w:rPr>
                  <w:rFonts w:ascii="Cambria Math" w:hAnsi="Cambria Math"/>
                </w:rPr>
              </m:ctrlPr>
            </m:sub>
          </m:sSub>
          <m:r>
            <m:rPr>
              <m:nor/>
              <m:sty m:val="p"/>
            </m:rPr>
            <w:rPr>
              <w:rFonts w:ascii="Times New Roman" w:hAnsi="Times New Roman"/>
              <w:b w:val="0"/>
              <w:i w:val="0"/>
            </w:rPr>
            <m:t>=</m:t>
          </m:r>
          <m:f>
            <m:fPr>
              <m:ctrlPr>
                <w:rPr>
                  <w:rFonts w:ascii="Cambria Math" w:hAnsi="Cambria Math"/>
                </w:rPr>
              </m:ctrlPr>
            </m:fPr>
            <m:num>
              <m:sSub>
                <m:sSubPr>
                  <m:ctrlPr>
                    <w:rPr>
                      <w:rFonts w:ascii="Cambria Math" w:hAnsi="Cambria Math"/>
                    </w:rPr>
                  </m:ctrlPr>
                </m:sSubPr>
                <m:e>
                  <m:r>
                    <m:rPr>
                      <m:nor/>
                    </m:rPr>
                    <w:rPr>
                      <w:rFonts w:ascii="Times New Roman" w:hAnsi="Times New Roman"/>
                      <w:i/>
                    </w:rPr>
                    <m:t>x</m:t>
                  </m:r>
                  <m:ctrlPr>
                    <w:rPr>
                      <w:rFonts w:ascii="Cambria Math" w:hAnsi="Cambria Math"/>
                    </w:rPr>
                  </m:ctrlPr>
                </m:e>
                <m:sub>
                  <m:r>
                    <m:rPr>
                      <m:nor/>
                      <m:sty m:val="p"/>
                    </m:rPr>
                    <w:rPr>
                      <w:rFonts w:ascii="Times New Roman" w:hAnsi="Times New Roman"/>
                      <w:b w:val="0"/>
                      <w:i w:val="0"/>
                    </w:rPr>
                    <m:t>(3)</m:t>
                  </m:r>
                  <m:ctrlPr>
                    <w:rPr>
                      <w:rFonts w:ascii="Cambria Math" w:hAnsi="Cambria Math"/>
                    </w:rPr>
                  </m:ctrlPr>
                </m:sub>
              </m:sSub>
              <m:r>
                <m:rPr>
                  <m:nor/>
                  <m:sty m:val="p"/>
                </m:rPr>
                <w:rPr>
                  <w:rFonts w:ascii="Times New Roman" w:hAnsi="Times New Roman"/>
                  <w:b w:val="0"/>
                  <w:i w:val="0"/>
                </w:rPr>
                <m:t>-</m:t>
              </m:r>
              <m:sSub>
                <m:sSubPr>
                  <m:ctrlPr>
                    <w:rPr>
                      <w:rFonts w:ascii="Cambria Math" w:hAnsi="Cambria Math"/>
                    </w:rPr>
                  </m:ctrlPr>
                </m:sSubPr>
                <m:e>
                  <m:r>
                    <m:rPr>
                      <m:nor/>
                    </m:rPr>
                    <w:rPr>
                      <w:rFonts w:ascii="Times New Roman" w:hAnsi="Times New Roman"/>
                      <w:i/>
                    </w:rPr>
                    <m:t>x</m:t>
                  </m:r>
                  <m:ctrlPr>
                    <w:rPr>
                      <w:rFonts w:ascii="Cambria Math" w:hAnsi="Cambria Math"/>
                    </w:rPr>
                  </m:ctrlPr>
                </m:e>
                <m:sub>
                  <m:r>
                    <m:rPr>
                      <m:nor/>
                      <m:sty m:val="p"/>
                    </m:rPr>
                    <w:rPr>
                      <w:rFonts w:ascii="Times New Roman" w:hAnsi="Times New Roman"/>
                      <w:b w:val="0"/>
                      <w:i w:val="0"/>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m:nor/>
                    </m:rPr>
                    <w:rPr>
                      <w:rFonts w:ascii="Times New Roman" w:hAnsi="Times New Roman"/>
                      <w:i/>
                    </w:rPr>
                    <m:t>x</m:t>
                  </m:r>
                  <m:ctrlPr>
                    <w:rPr>
                      <w:rFonts w:ascii="Cambria Math" w:hAnsi="Cambria Math"/>
                    </w:rPr>
                  </m:ctrlPr>
                </m:e>
                <m:sub>
                  <m:r>
                    <m:rPr>
                      <m:nor/>
                      <m:sty m:val="p"/>
                    </m:rPr>
                    <w:rPr>
                      <w:rFonts w:ascii="Times New Roman" w:hAnsi="Times New Roman"/>
                      <w:b w:val="0"/>
                      <w:i w:val="0"/>
                    </w:rPr>
                    <m:t>(n-2)</m:t>
                  </m:r>
                  <m:ctrlPr>
                    <w:rPr>
                      <w:rFonts w:ascii="Cambria Math" w:hAnsi="Cambria Math"/>
                    </w:rPr>
                  </m:ctrlPr>
                </m:sub>
              </m:sSub>
              <m:r>
                <m:rPr>
                  <m:nor/>
                  <m:sty m:val="p"/>
                </m:rPr>
                <w:rPr>
                  <w:rFonts w:ascii="Times New Roman" w:hAnsi="Times New Roman"/>
                  <w:b w:val="0"/>
                  <w:i w:val="0"/>
                </w:rPr>
                <m:t>-</m:t>
              </m:r>
              <m:sSub>
                <m:sSubPr>
                  <m:ctrlPr>
                    <w:rPr>
                      <w:rFonts w:ascii="Cambria Math" w:hAnsi="Cambria Math"/>
                    </w:rPr>
                  </m:ctrlPr>
                </m:sSubPr>
                <m:e>
                  <m:r>
                    <m:rPr>
                      <m:nor/>
                    </m:rPr>
                    <w:rPr>
                      <w:rFonts w:ascii="Times New Roman" w:hAnsi="Times New Roman"/>
                      <w:i/>
                    </w:rPr>
                    <m:t>x</m:t>
                  </m:r>
                  <m:ctrlPr>
                    <w:rPr>
                      <w:rFonts w:ascii="Cambria Math" w:hAnsi="Cambria Math"/>
                    </w:rPr>
                  </m:ctrlPr>
                </m:e>
                <m:sub>
                  <m:r>
                    <m:rPr>
                      <m:nor/>
                      <m:sty m:val="p"/>
                    </m:rPr>
                    <w:rPr>
                      <w:rFonts w:ascii="Times New Roman" w:hAnsi="Times New Roman"/>
                      <w:b w:val="0"/>
                      <w:i w:val="0"/>
                    </w:rPr>
                    <m:t>(1)</m:t>
                  </m:r>
                  <m:ctrlPr>
                    <w:rPr>
                      <w:rFonts w:ascii="Cambria Math" w:hAnsi="Cambria Math"/>
                    </w:rPr>
                  </m:ctrlPr>
                </m:sub>
              </m:sSub>
              <m:ctrlPr>
                <w:rPr>
                  <w:rFonts w:ascii="Cambria Math" w:hAnsi="Cambria Math"/>
                </w:rPr>
              </m:ctrlPr>
            </m:den>
          </m:f>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0.06620-0.06466</m:t>
              </m:r>
              <m:ctrlPr>
                <w:rPr>
                  <w:rFonts w:ascii="Cambria Math" w:hAnsi="Cambria Math"/>
                </w:rPr>
              </m:ctrlPr>
            </m:num>
            <m:den>
              <m:r>
                <m:rPr>
                  <m:nor/>
                  <m:sty m:val="p"/>
                </m:rPr>
                <w:rPr>
                  <w:rFonts w:ascii="Times New Roman" w:hAnsi="Times New Roman"/>
                  <w:b w:val="0"/>
                  <w:i w:val="0"/>
                </w:rPr>
                <m:t>0.07281-0.06466</m:t>
              </m:r>
              <m:ctrlPr>
                <w:rPr>
                  <w:rFonts w:ascii="Cambria Math" w:hAnsi="Cambria Math"/>
                </w:rPr>
              </m:ctrlPr>
            </m:den>
          </m:f>
          <m:r>
            <m:rPr>
              <m:nor/>
              <m:sty m:val="p"/>
            </m:rPr>
            <w:rPr>
              <w:rFonts w:ascii="Times New Roman" w:hAnsi="Times New Roman"/>
              <w:b w:val="0"/>
              <w:i w:val="0"/>
            </w:rPr>
            <m:t>=0.189</m:t>
          </m:r>
        </m:oMath>
      </m:oMathPara>
    </w:p>
    <w:p w14:paraId="0EE4AC23">
      <w:pPr>
        <w:widowControl/>
        <w:kinsoku w:val="0"/>
        <w:autoSpaceDE w:val="0"/>
        <w:autoSpaceDN w:val="0"/>
        <w:snapToGrid w:val="0"/>
        <w:spacing w:line="360" w:lineRule="auto"/>
        <w:ind w:firstLine="420"/>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r</m:t>
              </m:r>
              <m:ctrlPr>
                <w:rPr>
                  <w:rFonts w:ascii="Cambria Math" w:hAnsi="Cambria Math"/>
                </w:rPr>
              </m:ctrlPr>
            </m:e>
            <m:sub>
              <m:r>
                <m:rPr>
                  <m:nor/>
                  <m:sty m:val="p"/>
                </m:rPr>
                <w:rPr>
                  <w:rFonts w:ascii="Times New Roman" w:hAnsi="Times New Roman"/>
                  <w:b w:val="0"/>
                  <w:i w:val="0"/>
                </w:rPr>
                <m:t>n</m:t>
              </m:r>
              <m:ctrlPr>
                <w:rPr>
                  <w:rFonts w:ascii="Cambria Math" w:hAnsi="Cambria Math"/>
                </w:rPr>
              </m:ctrlPr>
            </m:sub>
          </m:sSub>
          <m:r>
            <m:rPr>
              <m:nor/>
              <m:sty m:val="p"/>
            </m:rPr>
            <w:rPr>
              <w:rFonts w:ascii="Times New Roman" w:hAnsi="Times New Roman"/>
              <w:b w:val="0"/>
              <w:i w:val="0"/>
            </w:rPr>
            <m:t>=</m:t>
          </m:r>
          <m:f>
            <m:fPr>
              <m:ctrlPr>
                <w:rPr>
                  <w:rFonts w:ascii="Cambria Math" w:hAnsi="Cambria Math"/>
                </w:rPr>
              </m:ctrlPr>
            </m:fPr>
            <m:num>
              <m:sSub>
                <m:sSubPr>
                  <m:ctrlPr>
                    <w:rPr>
                      <w:rFonts w:ascii="Cambria Math" w:hAnsi="Cambria Math"/>
                    </w:rPr>
                  </m:ctrlPr>
                </m:sSubPr>
                <m:e>
                  <m:r>
                    <m:rPr>
                      <m:nor/>
                    </m:rPr>
                    <w:rPr>
                      <w:rFonts w:ascii="Times New Roman" w:hAnsi="Times New Roman"/>
                      <w:i/>
                    </w:rPr>
                    <m:t>x</m:t>
                  </m:r>
                  <m:ctrlPr>
                    <w:rPr>
                      <w:rFonts w:ascii="Cambria Math" w:hAnsi="Cambria Math"/>
                    </w:rPr>
                  </m:ctrlPr>
                </m:e>
                <m:sub>
                  <m:r>
                    <m:rPr>
                      <m:nor/>
                      <m:sty m:val="p"/>
                    </m:rPr>
                    <w:rPr>
                      <w:rFonts w:ascii="Times New Roman" w:hAnsi="Times New Roman"/>
                      <w:b w:val="0"/>
                      <w:i w:val="0"/>
                    </w:rPr>
                    <m:t>(n)</m:t>
                  </m:r>
                  <m:ctrlPr>
                    <w:rPr>
                      <w:rFonts w:ascii="Cambria Math" w:hAnsi="Cambria Math"/>
                    </w:rPr>
                  </m:ctrlPr>
                </m:sub>
              </m:sSub>
              <m:r>
                <m:rPr>
                  <m:nor/>
                  <m:sty m:val="p"/>
                </m:rPr>
                <w:rPr>
                  <w:rFonts w:ascii="Times New Roman" w:hAnsi="Times New Roman"/>
                  <w:b w:val="0"/>
                  <w:i w:val="0"/>
                </w:rPr>
                <m:t>-</m:t>
              </m:r>
              <m:sSub>
                <m:sSubPr>
                  <m:ctrlPr>
                    <w:rPr>
                      <w:rFonts w:ascii="Cambria Math" w:hAnsi="Cambria Math"/>
                    </w:rPr>
                  </m:ctrlPr>
                </m:sSubPr>
                <m:e>
                  <m:r>
                    <m:rPr>
                      <m:nor/>
                    </m:rPr>
                    <w:rPr>
                      <w:rFonts w:ascii="Times New Roman" w:hAnsi="Times New Roman"/>
                      <w:i/>
                    </w:rPr>
                    <m:t>x</m:t>
                  </m:r>
                  <m:ctrlPr>
                    <w:rPr>
                      <w:rFonts w:ascii="Cambria Math" w:hAnsi="Cambria Math"/>
                    </w:rPr>
                  </m:ctrlPr>
                </m:e>
                <m:sub>
                  <m:r>
                    <m:rPr>
                      <m:nor/>
                      <m:sty m:val="p"/>
                    </m:rPr>
                    <w:rPr>
                      <w:rFonts w:ascii="Times New Roman" w:hAnsi="Times New Roman"/>
                      <w:b w:val="0"/>
                      <w:i w:val="0"/>
                    </w:rPr>
                    <m:t>(n-2)</m:t>
                  </m:r>
                  <m:ctrlPr>
                    <w:rPr>
                      <w:rFonts w:ascii="Cambria Math" w:hAnsi="Cambria Math"/>
                    </w:rPr>
                  </m:ctrlPr>
                </m:sub>
              </m:sSub>
              <m:ctrlPr>
                <w:rPr>
                  <w:rFonts w:ascii="Cambria Math" w:hAnsi="Cambria Math"/>
                </w:rPr>
              </m:ctrlPr>
            </m:num>
            <m:den>
              <m:sSub>
                <m:sSubPr>
                  <m:ctrlPr>
                    <w:rPr>
                      <w:rFonts w:ascii="Cambria Math" w:hAnsi="Cambria Math"/>
                    </w:rPr>
                  </m:ctrlPr>
                </m:sSubPr>
                <m:e>
                  <m:r>
                    <m:rPr>
                      <m:nor/>
                    </m:rPr>
                    <w:rPr>
                      <w:rFonts w:ascii="Times New Roman" w:hAnsi="Times New Roman"/>
                      <w:i/>
                    </w:rPr>
                    <m:t>x</m:t>
                  </m:r>
                  <m:ctrlPr>
                    <w:rPr>
                      <w:rFonts w:ascii="Cambria Math" w:hAnsi="Cambria Math"/>
                    </w:rPr>
                  </m:ctrlPr>
                </m:e>
                <m:sub>
                  <m:r>
                    <m:rPr>
                      <m:nor/>
                      <m:sty m:val="p"/>
                    </m:rPr>
                    <w:rPr>
                      <w:rFonts w:ascii="Times New Roman" w:hAnsi="Times New Roman"/>
                      <w:b w:val="0"/>
                      <w:i w:val="0"/>
                    </w:rPr>
                    <m:t>(n)</m:t>
                  </m:r>
                  <m:ctrlPr>
                    <w:rPr>
                      <w:rFonts w:ascii="Cambria Math" w:hAnsi="Cambria Math"/>
                    </w:rPr>
                  </m:ctrlPr>
                </m:sub>
              </m:sSub>
              <m:r>
                <m:rPr>
                  <m:nor/>
                  <m:sty m:val="p"/>
                </m:rPr>
                <w:rPr>
                  <w:rFonts w:ascii="Times New Roman" w:hAnsi="Times New Roman"/>
                  <w:b w:val="0"/>
                  <w:i w:val="0"/>
                </w:rPr>
                <m:t>-</m:t>
              </m:r>
              <m:sSub>
                <m:sSubPr>
                  <m:ctrlPr>
                    <w:rPr>
                      <w:rFonts w:ascii="Cambria Math" w:hAnsi="Cambria Math"/>
                    </w:rPr>
                  </m:ctrlPr>
                </m:sSubPr>
                <m:e>
                  <m:r>
                    <m:rPr>
                      <m:nor/>
                    </m:rPr>
                    <w:rPr>
                      <w:rFonts w:ascii="Times New Roman" w:hAnsi="Times New Roman"/>
                      <w:i/>
                    </w:rPr>
                    <m:t>x</m:t>
                  </m:r>
                  <m:ctrlPr>
                    <w:rPr>
                      <w:rFonts w:ascii="Cambria Math" w:hAnsi="Cambria Math"/>
                    </w:rPr>
                  </m:ctrlPr>
                </m:e>
                <m:sub>
                  <m:r>
                    <m:rPr>
                      <m:nor/>
                      <m:sty m:val="p"/>
                    </m:rPr>
                    <w:rPr>
                      <w:rFonts w:ascii="Times New Roman" w:hAnsi="Times New Roman"/>
                      <w:b w:val="0"/>
                      <w:i w:val="0"/>
                    </w:rPr>
                    <m:t>(3)</m:t>
                  </m:r>
                  <m:ctrlPr>
                    <w:rPr>
                      <w:rFonts w:ascii="Cambria Math" w:hAnsi="Cambria Math"/>
                    </w:rPr>
                  </m:ctrlPr>
                </m:sub>
              </m:sSub>
              <m:ctrlPr>
                <w:rPr>
                  <w:rFonts w:ascii="Cambria Math" w:hAnsi="Cambria Math"/>
                </w:rPr>
              </m:ctrlPr>
            </m:den>
          </m:f>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0.07323-0.07281</m:t>
              </m:r>
              <m:ctrlPr>
                <w:rPr>
                  <w:rFonts w:ascii="Cambria Math" w:hAnsi="Cambria Math"/>
                </w:rPr>
              </m:ctrlPr>
            </m:num>
            <m:den>
              <m:r>
                <m:rPr>
                  <m:nor/>
                  <m:sty m:val="p"/>
                </m:rPr>
                <w:rPr>
                  <w:rFonts w:ascii="Times New Roman" w:hAnsi="Times New Roman"/>
                  <w:b w:val="0"/>
                  <w:i w:val="0"/>
                </w:rPr>
                <m:t>0.07302-0.06620</m:t>
              </m:r>
              <m:ctrlPr>
                <w:rPr>
                  <w:rFonts w:ascii="Cambria Math" w:hAnsi="Cambria Math"/>
                </w:rPr>
              </m:ctrlPr>
            </m:den>
          </m:f>
          <m:r>
            <m:rPr>
              <m:nor/>
              <m:sty m:val="p"/>
            </m:rPr>
            <w:rPr>
              <w:rFonts w:ascii="Times New Roman" w:hAnsi="Times New Roman"/>
              <w:b w:val="0"/>
              <w:i w:val="0"/>
            </w:rPr>
            <m:t>=0.062</m:t>
          </m:r>
        </m:oMath>
      </m:oMathPara>
    </w:p>
    <w:p w14:paraId="5E5F1141">
      <w:pPr>
        <w:widowControl/>
        <w:wordWrap w:val="0"/>
        <w:autoSpaceDE w:val="0"/>
        <w:autoSpaceDN w:val="0"/>
        <w:snapToGrid w:val="0"/>
        <w:spacing w:line="360" w:lineRule="auto"/>
        <w:ind w:firstLine="420"/>
        <w:textAlignment w:val="baseline"/>
        <w:rPr>
          <w:rFonts w:ascii="Times New Roman" w:hAnsi="Times New Roman"/>
        </w:rPr>
      </w:pPr>
      <w:r>
        <w:rPr>
          <w:rFonts w:ascii="Times New Roman" w:hAnsi="Times New Roman"/>
        </w:rPr>
        <w:t>r</w:t>
      </w:r>
      <w:r>
        <w:rPr>
          <w:rFonts w:ascii="Times New Roman" w:hAnsi="Times New Roman"/>
          <w:vertAlign w:val="subscript"/>
        </w:rPr>
        <w:t>1</w:t>
      </w:r>
      <w:r>
        <w:rPr>
          <w:rFonts w:ascii="Times New Roman" w:hAnsi="Times New Roman"/>
        </w:rPr>
        <w:t>和r</w:t>
      </w:r>
      <w:r>
        <w:rPr>
          <w:rFonts w:ascii="Times New Roman" w:hAnsi="Times New Roman"/>
          <w:vertAlign w:val="subscript"/>
        </w:rPr>
        <w:t>n</w:t>
      </w:r>
      <w:r>
        <w:rPr>
          <w:rFonts w:ascii="Times New Roman" w:hAnsi="Times New Roman"/>
        </w:rPr>
        <w:t>＜ƒ（0.05，54）=0.32，故全部数据均应保留。同时，6家实验室均采用的气相色谱-乙酰氯-甲醇法作为定值方法，采用科克伦法检验平均值间是否等精度，先计算各组数据各个数据的方差，再计算其中的最大方差与各组方差和之比。</w:t>
      </w:r>
    </w:p>
    <w:p w14:paraId="39CB36AE">
      <w:pPr>
        <w:widowControl/>
        <w:wordWrap w:val="0"/>
        <w:autoSpaceDE w:val="0"/>
        <w:autoSpaceDN w:val="0"/>
        <w:snapToGrid w:val="0"/>
        <w:spacing w:line="360" w:lineRule="auto"/>
        <w:ind w:firstLine="420"/>
        <w:textAlignment w:val="baseline"/>
        <w:rPr>
          <w:rFonts w:ascii="Times New Roman" w:hAnsi="Times New Roman"/>
        </w:rPr>
      </w:pPr>
      <w:r>
        <w:rPr>
          <w:rFonts w:ascii="Times New Roman" w:hAnsi="Times New Roman"/>
        </w:rPr>
        <w:t>根据科克伦检验准则，计算统计量6组方差和为0.0000068，其中最大方差与各组方差和之比：</w:t>
      </w:r>
    </w:p>
    <w:p w14:paraId="2B817A5C">
      <w:pPr>
        <w:widowControl/>
        <w:wordWrap w:val="0"/>
        <w:autoSpaceDE w:val="0"/>
        <w:autoSpaceDN w:val="0"/>
        <w:snapToGrid w:val="0"/>
        <w:spacing w:line="360" w:lineRule="auto"/>
        <w:ind w:firstLine="420"/>
        <w:jc w:val="center"/>
        <w:textAlignment w:val="baseline"/>
        <w:rPr>
          <w:rFonts w:ascii="Times New Roman" w:hAnsi="Times New Roman"/>
        </w:rPr>
      </w:pPr>
      <w:r>
        <w:rPr>
          <w:rFonts w:ascii="Times New Roman" w:hAnsi="Times New Roman"/>
        </w:rPr>
        <w:t>C=s</w:t>
      </w:r>
      <w:r>
        <w:rPr>
          <w:rFonts w:ascii="Times New Roman" w:hAnsi="Times New Roman"/>
          <w:vertAlign w:val="superscript"/>
        </w:rPr>
        <w:t>2</w:t>
      </w:r>
      <w:r>
        <w:rPr>
          <w:rFonts w:ascii="Times New Roman" w:hAnsi="Times New Roman"/>
          <w:vertAlign w:val="subscript"/>
        </w:rPr>
        <w:t>max</w:t>
      </w:r>
      <w:r>
        <w:rPr>
          <w:rFonts w:ascii="Times New Roman" w:hAnsi="Times New Roman"/>
        </w:rPr>
        <w:t>/0.0000068=0.0016</w:t>
      </w:r>
      <w:r>
        <w:rPr>
          <w:rFonts w:ascii="Times New Roman" w:hAnsi="Times New Roman"/>
          <w:vertAlign w:val="superscript"/>
        </w:rPr>
        <w:t>2</w:t>
      </w:r>
      <w:r>
        <w:rPr>
          <w:rFonts w:ascii="Times New Roman" w:hAnsi="Times New Roman"/>
        </w:rPr>
        <w:t>/0.0000068=0.3765</w:t>
      </w:r>
    </w:p>
    <w:p w14:paraId="40DE2650">
      <w:pPr>
        <w:wordWrap w:val="0"/>
        <w:spacing w:line="360" w:lineRule="auto"/>
        <w:ind w:firstLine="420"/>
        <w:rPr>
          <w:rFonts w:ascii="Times New Roman" w:hAnsi="Times New Roman"/>
        </w:rPr>
      </w:pPr>
      <w:r>
        <w:rPr>
          <w:rFonts w:ascii="Times New Roman" w:hAnsi="Times New Roman"/>
        </w:rPr>
        <w:t>查表得C（0.05，6，9）=0.3817，则C＜C（0.05，6，9），判断无可疑数据。</w:t>
      </w:r>
    </w:p>
    <w:p w14:paraId="5F0746D9">
      <w:pPr>
        <w:wordWrap w:val="0"/>
        <w:spacing w:line="360" w:lineRule="auto"/>
        <w:ind w:firstLine="420"/>
        <w:rPr>
          <w:rFonts w:ascii="Times New Roman" w:hAnsi="Times New Roman"/>
        </w:rPr>
      </w:pPr>
      <w:r>
        <w:rPr>
          <w:rFonts w:ascii="Times New Roman" w:hAnsi="Times New Roman"/>
        </w:rPr>
        <w:t>综上，本标准物质乳粉中DHA定值结果为：0.06924 g/100g，多家联合定值的相对标准偏差为</w:t>
      </w:r>
    </w:p>
    <w:p w14:paraId="35D5E673">
      <w:pPr>
        <w:wordWrap w:val="0"/>
        <w:spacing w:line="360" w:lineRule="auto"/>
        <w:ind w:firstLine="420"/>
        <w:rPr>
          <w:rFonts w:ascii="Times New Roman" w:hAnsi="Times New Roman"/>
        </w:rPr>
      </w:pPr>
      <w:r>
        <w:rPr>
          <w:rFonts w:ascii="Times New Roman" w:hAnsi="Times New Roman"/>
        </w:rPr>
        <w:t>2.795%。</w:t>
      </w:r>
    </w:p>
    <w:p w14:paraId="615E1747">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.8  不确定度评估</w:t>
      </w:r>
    </w:p>
    <w:p w14:paraId="399BB0A7">
      <w:pPr>
        <w:widowControl/>
        <w:wordWrap w:val="0"/>
        <w:autoSpaceDE w:val="0"/>
        <w:autoSpaceDN w:val="0"/>
        <w:snapToGrid w:val="0"/>
        <w:spacing w:line="360" w:lineRule="auto"/>
        <w:ind w:firstLine="420" w:firstLineChars="200"/>
        <w:textAlignment w:val="baseline"/>
        <w:rPr>
          <w:rFonts w:ascii="Times New Roman" w:hAnsi="Times New Roman"/>
        </w:rPr>
      </w:pPr>
      <w:r>
        <w:rPr>
          <w:rFonts w:ascii="Times New Roman" w:hAnsi="Times New Roman"/>
        </w:rPr>
        <w:t>乳粉中DHA成分分析标准物质的不确定度来源由三个部分组成，分别是：一、标准物质定值引入的不确定度；二、标准物质不均匀性引入的不确定度；三、标准物质不稳定性引入的不确定度，具体不确定度各分量分析如下：</w:t>
      </w:r>
      <w:bookmarkStart w:id="57" w:name="_Toc26865595"/>
    </w:p>
    <w:p w14:paraId="640A167E">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bookmarkStart w:id="58" w:name="_Toc26148"/>
      <w:bookmarkStart w:id="59" w:name="_Toc12146"/>
      <w:bookmarkStart w:id="60" w:name="_Toc3661"/>
      <w:bookmarkStart w:id="61" w:name="_Toc9712"/>
      <w:bookmarkStart w:id="62" w:name="_Toc46242083"/>
      <w:bookmarkStart w:id="63" w:name="_Toc21368"/>
      <w:bookmarkStart w:id="64" w:name="_Toc1919"/>
      <w:bookmarkStart w:id="65" w:name="_Toc22778"/>
      <w:r>
        <w:rPr>
          <w:rFonts w:hint="eastAsia" w:ascii="Times New Roman" w:hAnsi="Times New Roman" w:eastAsia="黑体"/>
          <w:spacing w:val="-6"/>
        </w:rPr>
        <w:t>D</w:t>
      </w:r>
      <w:r>
        <w:rPr>
          <w:rFonts w:ascii="Times New Roman" w:hAnsi="Times New Roman" w:eastAsia="黑体"/>
          <w:spacing w:val="-6"/>
        </w:rPr>
        <w:t>.8.1 标准物质定值引入的不确定度</w:t>
      </w:r>
      <w:bookmarkEnd w:id="57"/>
      <w:bookmarkEnd w:id="58"/>
      <w:bookmarkEnd w:id="59"/>
      <w:bookmarkEnd w:id="60"/>
      <w:bookmarkEnd w:id="61"/>
      <w:bookmarkEnd w:id="62"/>
      <w:bookmarkEnd w:id="63"/>
      <w:bookmarkEnd w:id="64"/>
      <w:bookmarkEnd w:id="65"/>
    </w:p>
    <w:p w14:paraId="08D9318C">
      <w:pPr>
        <w:wordWrap w:val="0"/>
        <w:spacing w:line="360" w:lineRule="auto"/>
        <w:ind w:firstLine="420"/>
        <w:rPr>
          <w:rFonts w:ascii="Times New Roman" w:hAnsi="Times New Roman"/>
        </w:rPr>
      </w:pPr>
      <w:r>
        <w:rPr>
          <w:rFonts w:ascii="Times New Roman" w:hAnsi="Times New Roman"/>
        </w:rPr>
        <w:t>标准物质定值由多家实验室联合定值引入的A类不确定度和采用的有证标准物质、称量等过程引入的B类不确定度两部分组成。</w:t>
      </w:r>
    </w:p>
    <w:p w14:paraId="32470A94">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.8.1.1 多家联合定值引入的不确定度u</w:t>
      </w:r>
      <w:r>
        <w:rPr>
          <w:rFonts w:ascii="Times New Roman" w:hAnsi="Times New Roman" w:eastAsia="黑体"/>
          <w:spacing w:val="-6"/>
          <w:vertAlign w:val="subscript"/>
        </w:rPr>
        <w:t>A</w:t>
      </w:r>
    </w:p>
    <w:p w14:paraId="2EFDC659">
      <w:pPr>
        <w:wordWrap w:val="0"/>
        <w:spacing w:line="360" w:lineRule="auto"/>
        <w:ind w:firstLine="420"/>
        <w:rPr>
          <w:rFonts w:ascii="Times New Roman" w:hAnsi="Times New Roman"/>
        </w:rPr>
      </w:pPr>
      <w:r>
        <w:rPr>
          <w:rFonts w:ascii="Times New Roman" w:hAnsi="Times New Roman"/>
        </w:rPr>
        <w:t>联合定值单位采用了气相色谱-乙酰氯-甲醇法测量，经柯克伦检验和迪克逊检验数据无异常值，最终定值结果为6家实验室的合作定值结果，将这各组实验室的平均值作为一组新的数据，则：</w:t>
      </w:r>
    </w:p>
    <w:p w14:paraId="493C2643">
      <w:pPr>
        <w:widowControl/>
        <w:kinsoku w:val="0"/>
        <w:autoSpaceDE w:val="0"/>
        <w:autoSpaceDN w:val="0"/>
        <w:snapToGrid w:val="0"/>
        <w:spacing w:line="360" w:lineRule="auto"/>
        <w:ind w:firstLine="420"/>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A</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f>
                <m:fPr>
                  <m:ctrlPr>
                    <w:rPr>
                      <w:rFonts w:ascii="Cambria Math" w:hAnsi="Cambria Math"/>
                    </w:rPr>
                  </m:ctrlPr>
                </m:fPr>
                <m:num>
                  <m:sSup>
                    <m:sSupPr>
                      <m:ctrlPr>
                        <w:rPr>
                          <w:rFonts w:ascii="Cambria Math" w:hAnsi="Cambria Math"/>
                        </w:rPr>
                      </m:ctrlPr>
                    </m:sSupPr>
                    <m:e>
                      <m:nary>
                        <m:naryPr>
                          <m:chr m:val="∑"/>
                          <m:limLoc m:val="subSup"/>
                          <m:ctrlPr>
                            <w:rPr>
                              <w:rFonts w:ascii="Cambria Math" w:hAnsi="Cambria Math"/>
                            </w:rPr>
                          </m:ctrlPr>
                        </m:naryPr>
                        <m:sub>
                          <m:r>
                            <m:rPr>
                              <m:nor/>
                            </m:rPr>
                            <w:rPr>
                              <w:rFonts w:ascii="Times New Roman" w:hAnsi="Times New Roman"/>
                              <w:i/>
                            </w:rPr>
                            <m:t>i</m:t>
                          </m:r>
                          <m:r>
                            <m:rPr>
                              <m:nor/>
                              <m:sty m:val="p"/>
                            </m:rPr>
                            <w:rPr>
                              <w:rFonts w:ascii="Times New Roman" w:hAnsi="Times New Roman"/>
                              <w:b w:val="0"/>
                              <w:i w:val="0"/>
                            </w:rPr>
                            <m:t>=1</m:t>
                          </m:r>
                          <m:ctrlPr>
                            <w:rPr>
                              <w:rFonts w:ascii="Cambria Math" w:hAnsi="Cambria Math"/>
                            </w:rPr>
                          </m:ctrlPr>
                        </m:sub>
                        <m:sup>
                          <m:r>
                            <m:rPr>
                              <m:nor/>
                            </m:rPr>
                            <w:rPr>
                              <w:rFonts w:ascii="Times New Roman" w:hAnsi="Times New Roman"/>
                              <w:i/>
                            </w:rPr>
                            <m:t>P</m:t>
                          </m:r>
                          <m:ctrlPr>
                            <w:rPr>
                              <w:rFonts w:ascii="Cambria Math" w:hAnsi="Cambria Math"/>
                            </w:rPr>
                          </m:ctrlPr>
                        </m:sup>
                        <m:e>
                          <m:r>
                            <m:rPr>
                              <m:nor/>
                              <m:sty m:val="p"/>
                            </m:rPr>
                            <w:rPr>
                              <w:rFonts w:ascii="Times New Roman" w:hAnsi="Times New Roman"/>
                              <w:b w:val="0"/>
                              <w:i w:val="0"/>
                            </w:rPr>
                            <m:t>(</m:t>
                          </m:r>
                          <m:acc>
                            <m:accPr>
                              <m:chr m:val="̅"/>
                              <m:ctrlPr>
                                <w:rPr>
                                  <w:rFonts w:ascii="Cambria Math" w:hAnsi="Cambria Math"/>
                                  <w:i/>
                                </w:rPr>
                              </m:ctrlPr>
                            </m:accPr>
                            <m:e>
                              <m:sSub>
                                <m:sSubPr>
                                  <m:ctrlPr>
                                    <w:rPr>
                                      <w:rFonts w:ascii="Cambria Math" w:hAnsi="Cambria Math"/>
                                      <w:i/>
                                    </w:rPr>
                                  </m:ctrlPr>
                                </m:sSubPr>
                                <m:e>
                                  <m:r>
                                    <m:rPr>
                                      <m:nor/>
                                    </m:rPr>
                                    <w:rPr>
                                      <w:rFonts w:ascii="Times New Roman" w:hAnsi="Times New Roman"/>
                                      <w:i/>
                                    </w:rPr>
                                    <m:t>x</m:t>
                                  </m:r>
                                  <m:ctrlPr>
                                    <w:rPr>
                                      <w:rFonts w:ascii="Cambria Math" w:hAnsi="Cambria Math"/>
                                      <w:i/>
                                    </w:rPr>
                                  </m:ctrlPr>
                                </m:e>
                                <m:sub>
                                  <m:r>
                                    <m:rPr>
                                      <m:nor/>
                                    </m:rPr>
                                    <w:rPr>
                                      <w:rFonts w:ascii="Times New Roman" w:hAnsi="Times New Roman"/>
                                      <w:i/>
                                    </w:rPr>
                                    <m:t>i</m:t>
                                  </m:r>
                                  <m:ctrlPr>
                                    <w:rPr>
                                      <w:rFonts w:ascii="Cambria Math" w:hAnsi="Cambria Math"/>
                                      <w:i/>
                                    </w:rPr>
                                  </m:ctrlPr>
                                </m:sub>
                              </m:sSub>
                              <m:ctrlPr>
                                <w:rPr>
                                  <w:rFonts w:ascii="Cambria Math" w:hAnsi="Cambria Math"/>
                                  <w:i/>
                                </w:rPr>
                              </m:ctrlPr>
                            </m:e>
                          </m:acc>
                          <m:ctrlPr>
                            <w:rPr>
                              <w:rFonts w:ascii="Cambria Math" w:hAnsi="Cambria Math"/>
                            </w:rPr>
                          </m:ctrlPr>
                        </m:e>
                      </m:nary>
                      <m:r>
                        <m:rPr>
                          <m:nor/>
                          <m:sty m:val="p"/>
                        </m:rPr>
                        <w:rPr>
                          <w:rFonts w:ascii="Times New Roman" w:hAnsi="Times New Roman"/>
                          <w:b w:val="0"/>
                          <w:i w:val="0"/>
                        </w:rPr>
                        <m:t>-</m:t>
                      </m:r>
                      <m:acc>
                        <m:accPr>
                          <m:chr m:val="̿"/>
                          <m:ctrlPr>
                            <w:rPr>
                              <w:rFonts w:ascii="Cambria Math" w:hAnsi="Cambria Math"/>
                            </w:rPr>
                          </m:ctrlPr>
                        </m:accPr>
                        <m:e>
                          <m:r>
                            <m:rPr>
                              <m:nor/>
                            </m:rPr>
                            <w:rPr>
                              <w:rFonts w:ascii="Times New Roman" w:hAnsi="Times New Roman"/>
                              <w:i/>
                            </w:rPr>
                            <m:t>x</m:t>
                          </m:r>
                          <m:ctrlPr>
                            <w:rPr>
                              <w:rFonts w:ascii="Cambria Math" w:hAnsi="Cambria Math"/>
                            </w:rPr>
                          </m:ctrlPr>
                        </m:e>
                      </m:acc>
                      <m:r>
                        <m:rPr>
                          <m:nor/>
                          <m:sty m:val="p"/>
                        </m:rPr>
                        <w:rPr>
                          <w:rFonts w:ascii="Times New Roman" w:hAnsi="Times New Roman"/>
                          <w:b w:val="0"/>
                          <w:i w:val="0"/>
                        </w:rPr>
                        <m:t>)</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num>
                <m:den>
                  <m:r>
                    <m:rPr>
                      <m:nor/>
                    </m:rPr>
                    <w:rPr>
                      <w:rFonts w:ascii="Times New Roman" w:hAnsi="Times New Roman"/>
                      <w:i/>
                    </w:rPr>
                    <m:t>P</m:t>
                  </m:r>
                  <m:r>
                    <m:rPr>
                      <m:nor/>
                      <m:sty m:val="p"/>
                    </m:rPr>
                    <w:rPr>
                      <w:rFonts w:ascii="Times New Roman" w:hAnsi="Times New Roman"/>
                      <w:b w:val="0"/>
                      <w:i w:val="0"/>
                    </w:rPr>
                    <m:t>×(</m:t>
                  </m:r>
                  <m:r>
                    <m:rPr>
                      <m:nor/>
                    </m:rPr>
                    <w:rPr>
                      <w:rFonts w:ascii="Times New Roman" w:hAnsi="Times New Roman"/>
                      <w:i/>
                    </w:rPr>
                    <m:t>P</m:t>
                  </m:r>
                  <m:r>
                    <m:rPr>
                      <m:nor/>
                      <m:sty m:val="p"/>
                    </m:rPr>
                    <w:rPr>
                      <w:rFonts w:ascii="Times New Roman" w:hAnsi="Times New Roman"/>
                      <w:b w:val="0"/>
                      <w:i w:val="0"/>
                    </w:rPr>
                    <m:t>-1)</m:t>
                  </m:r>
                  <m:ctrlPr>
                    <w:rPr>
                      <w:rFonts w:ascii="Cambria Math" w:hAnsi="Cambria Math"/>
                    </w:rPr>
                  </m:ctrlPr>
                </m:den>
              </m:f>
              <m:ctrlPr>
                <w:rPr>
                  <w:rFonts w:ascii="Cambria Math" w:hAnsi="Cambria Math"/>
                </w:rPr>
              </m:ctrlPr>
            </m:e>
          </m:rad>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f>
                <m:fPr>
                  <m:ctrlPr>
                    <w:rPr>
                      <w:rFonts w:ascii="Cambria Math" w:hAnsi="Cambria Math"/>
                    </w:rPr>
                  </m:ctrlPr>
                </m:fPr>
                <m:num>
                  <m:r>
                    <m:rPr>
                      <m:nor/>
                      <m:sty m:val="p"/>
                    </m:rPr>
                    <w:rPr>
                      <w:rFonts w:ascii="Times New Roman" w:hAnsi="Times New Roman"/>
                      <w:b w:val="0"/>
                      <w:i w:val="0"/>
                    </w:rPr>
                    <m:t>0.000018722</m:t>
                  </m:r>
                  <m:ctrlPr>
                    <w:rPr>
                      <w:rFonts w:ascii="Cambria Math" w:hAnsi="Cambria Math"/>
                    </w:rPr>
                  </m:ctrlPr>
                </m:num>
                <m:den>
                  <m:r>
                    <m:rPr>
                      <m:nor/>
                      <m:sty m:val="p"/>
                    </m:rPr>
                    <w:rPr>
                      <w:rFonts w:ascii="Times New Roman" w:hAnsi="Times New Roman"/>
                      <w:b w:val="0"/>
                      <w:i w:val="0"/>
                    </w:rPr>
                    <m:t>6×(6-1)</m:t>
                  </m:r>
                  <m:ctrlPr>
                    <w:rPr>
                      <w:rFonts w:ascii="Cambria Math" w:hAnsi="Cambria Math"/>
                    </w:rPr>
                  </m:ctrlPr>
                </m:den>
              </m:f>
              <m:ctrlPr>
                <w:rPr>
                  <w:rFonts w:ascii="Cambria Math" w:hAnsi="Cambria Math"/>
                </w:rPr>
              </m:ctrlPr>
            </m:e>
          </m:rad>
          <m:r>
            <m:rPr>
              <m:nor/>
              <m:sty m:val="p"/>
            </m:rPr>
            <w:rPr>
              <w:rFonts w:ascii="Times New Roman" w:hAnsi="Times New Roman"/>
              <w:b w:val="0"/>
              <w:i w:val="0"/>
            </w:rPr>
            <m:t>=0.0007900 g/100g</m:t>
          </m:r>
        </m:oMath>
      </m:oMathPara>
    </w:p>
    <w:p w14:paraId="3EF57738">
      <w:pPr>
        <w:widowControl/>
        <w:kinsoku w:val="0"/>
        <w:autoSpaceDE w:val="0"/>
        <w:autoSpaceDN w:val="0"/>
        <w:snapToGrid w:val="0"/>
        <w:spacing w:line="360" w:lineRule="auto"/>
        <w:ind w:firstLine="420"/>
        <w:jc w:val="center"/>
        <w:textAlignment w:val="baseline"/>
        <w:rPr>
          <w:rFonts w:ascii="Times New Roman" w:hAnsi="Times New Roman"/>
        </w:rPr>
      </w:pPr>
      <m:oMathPara>
        <m:oMath>
          <m:sSub>
            <m:sSubPr>
              <m:ctrlPr>
                <w:rPr>
                  <w:rFonts w:ascii="Cambria Math" w:hAnsi="Cambria Math"/>
                </w:rPr>
              </m:ctrlPr>
            </m:sSubPr>
            <m:e>
              <m:r>
                <m:rPr>
                  <m:nor/>
                  <m:sty m:val="p"/>
                </m:rPr>
                <w:rPr>
                  <w:rFonts w:ascii="Times New Roman" w:hAnsi="Times New Roman"/>
                  <w:b w:val="0"/>
                  <w:i w:val="0"/>
                </w:rPr>
                <m:t>u</m:t>
              </m:r>
              <m:ctrlPr>
                <w:rPr>
                  <w:rFonts w:ascii="Cambria Math" w:hAnsi="Cambria Math"/>
                </w:rPr>
              </m:ctrlPr>
            </m:e>
            <m:sub>
              <m:r>
                <m:rPr>
                  <m:nor/>
                  <m:sty m:val="p"/>
                </m:rPr>
                <w:rPr>
                  <w:rFonts w:ascii="Times New Roman" w:hAnsi="Times New Roman"/>
                  <w:b w:val="0"/>
                  <w:i w:val="0"/>
                </w:rPr>
                <m:t>A,rel</m:t>
              </m:r>
              <m:ctrlPr>
                <w:rPr>
                  <w:rFonts w:ascii="Cambria Math" w:hAnsi="Cambria Math"/>
                </w:rPr>
              </m:ctrlPr>
            </m:sub>
          </m:sSub>
          <m:r>
            <m:rPr>
              <m:nor/>
              <m:sty m:val="p"/>
            </m:rPr>
            <w:rPr>
              <w:rFonts w:ascii="Times New Roman" w:hAnsi="Times New Roman"/>
              <w:b w:val="0"/>
              <w:i w:val="0"/>
            </w:rPr>
            <m:t>=</m:t>
          </m:r>
          <m:f>
            <m:fPr>
              <m:ctrlPr>
                <w:rPr>
                  <w:rFonts w:ascii="Cambria Math" w:hAnsi="Cambria Math"/>
                </w:rPr>
              </m:ctrlPr>
            </m:fPr>
            <m:num>
              <m:sSub>
                <m:sSubPr>
                  <m:ctrlPr>
                    <w:rPr>
                      <w:rFonts w:ascii="Cambria Math" w:hAnsi="Cambria Math"/>
                    </w:rPr>
                  </m:ctrlPr>
                </m:sSubPr>
                <m:e>
                  <m:r>
                    <m:rPr>
                      <m:nor/>
                      <m:sty m:val="p"/>
                    </m:rPr>
                    <w:rPr>
                      <w:rFonts w:ascii="Times New Roman" w:hAnsi="Times New Roman"/>
                      <w:b w:val="0"/>
                      <w:i w:val="0"/>
                    </w:rPr>
                    <m:t>u</m:t>
                  </m:r>
                  <m:ctrlPr>
                    <w:rPr>
                      <w:rFonts w:ascii="Cambria Math" w:hAnsi="Cambria Math"/>
                    </w:rPr>
                  </m:ctrlPr>
                </m:e>
                <m:sub>
                  <m:r>
                    <m:rPr>
                      <m:nor/>
                      <m:sty m:val="p"/>
                    </m:rPr>
                    <w:rPr>
                      <w:rFonts w:ascii="Times New Roman" w:hAnsi="Times New Roman"/>
                      <w:b w:val="0"/>
                      <w:i w:val="0"/>
                    </w:rPr>
                    <m:t>A</m:t>
                  </m:r>
                  <m:ctrlPr>
                    <w:rPr>
                      <w:rFonts w:ascii="Cambria Math" w:hAnsi="Cambria Math"/>
                    </w:rPr>
                  </m:ctrlPr>
                </m:sub>
              </m:sSub>
              <m:ctrlPr>
                <w:rPr>
                  <w:rFonts w:ascii="Cambria Math" w:hAnsi="Cambria Math"/>
                </w:rPr>
              </m:ctrlPr>
            </m:num>
            <m:den>
              <m:acc>
                <m:accPr>
                  <m:chr m:val="̅"/>
                  <m:ctrlPr>
                    <w:rPr>
                      <w:rFonts w:ascii="Cambria Math" w:hAnsi="Cambria Math"/>
                    </w:rPr>
                  </m:ctrlPr>
                </m:accPr>
                <m:e>
                  <m:r>
                    <m:rPr>
                      <m:nor/>
                      <m:sty m:val="p"/>
                    </m:rPr>
                    <w:rPr>
                      <w:rFonts w:ascii="Times New Roman" w:hAnsi="Times New Roman"/>
                      <w:b w:val="0"/>
                      <w:i w:val="0"/>
                    </w:rPr>
                    <m:t>x</m:t>
                  </m:r>
                  <m:ctrlPr>
                    <w:rPr>
                      <w:rFonts w:ascii="Cambria Math" w:hAnsi="Cambria Math"/>
                    </w:rPr>
                  </m:ctrlPr>
                </m:e>
              </m:acc>
              <m:ctrlPr>
                <w:rPr>
                  <w:rFonts w:ascii="Cambria Math" w:hAnsi="Cambria Math"/>
                </w:rPr>
              </m:ctrlPr>
            </m:den>
          </m:f>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0.0007900</m:t>
              </m:r>
              <m:ctrlPr>
                <w:rPr>
                  <w:rFonts w:ascii="Cambria Math" w:hAnsi="Cambria Math"/>
                </w:rPr>
              </m:ctrlPr>
            </m:num>
            <m:den>
              <m:r>
                <m:rPr>
                  <m:nor/>
                  <m:sty m:val="p"/>
                </m:rPr>
                <w:rPr>
                  <w:rFonts w:ascii="Times New Roman" w:hAnsi="Times New Roman"/>
                  <w:b w:val="0"/>
                  <w:i w:val="0"/>
                </w:rPr>
                <m:t>0.06924</m:t>
              </m:r>
              <m:ctrlPr>
                <w:rPr>
                  <w:rFonts w:ascii="Cambria Math" w:hAnsi="Cambria Math"/>
                </w:rPr>
              </m:ctrlPr>
            </m:den>
          </m:f>
          <m:r>
            <m:rPr>
              <m:nor/>
              <m:sty m:val="p"/>
            </m:rPr>
            <w:rPr>
              <w:rFonts w:ascii="Times New Roman" w:hAnsi="Times New Roman"/>
              <w:b w:val="0"/>
              <w:i w:val="0"/>
            </w:rPr>
            <m:t>=1.141%</m:t>
          </m:r>
        </m:oMath>
      </m:oMathPara>
    </w:p>
    <w:p w14:paraId="14EFE514">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.8.1.</w:t>
      </w:r>
      <w:r>
        <w:rPr>
          <w:rFonts w:hint="eastAsia" w:ascii="Times New Roman" w:hAnsi="Times New Roman" w:eastAsia="黑体"/>
          <w:spacing w:val="-6"/>
        </w:rPr>
        <w:t>2</w:t>
      </w:r>
      <w:r>
        <w:rPr>
          <w:rFonts w:ascii="Times New Roman" w:hAnsi="Times New Roman" w:eastAsia="黑体"/>
          <w:spacing w:val="-6"/>
        </w:rPr>
        <w:t xml:space="preserve"> 系统引入的不确定度</w:t>
      </w:r>
      <m:oMath>
        <m:sSub>
          <m:sSubPr>
            <m:ctrlPr>
              <w:rPr>
                <w:rFonts w:ascii="Cambria Math" w:hAnsi="Cambria Math" w:eastAsia="黑体"/>
                <w:spacing w:val="-6"/>
              </w:rPr>
            </m:ctrlPr>
          </m:sSubPr>
          <m:e>
            <m:r>
              <m:rPr>
                <m:sty m:val="p"/>
              </m:rPr>
              <w:rPr>
                <w:rFonts w:ascii="Cambria Math" w:hAnsi="Cambria Math" w:eastAsia="黑体"/>
                <w:spacing w:val="-6"/>
              </w:rPr>
              <m:t>u</m:t>
            </m:r>
            <m:ctrlPr>
              <w:rPr>
                <w:rFonts w:ascii="Cambria Math" w:hAnsi="Cambria Math" w:eastAsia="黑体"/>
                <w:spacing w:val="-6"/>
              </w:rPr>
            </m:ctrlPr>
          </m:e>
          <m:sub>
            <m:r>
              <m:rPr>
                <m:sty m:val="p"/>
              </m:rPr>
              <w:rPr>
                <w:rFonts w:ascii="Cambria Math" w:hAnsi="Cambria Math" w:eastAsia="黑体"/>
                <w:spacing w:val="-6"/>
              </w:rPr>
              <m:t>B</m:t>
            </m:r>
            <m:ctrlPr>
              <w:rPr>
                <w:rFonts w:ascii="Cambria Math" w:hAnsi="Cambria Math" w:eastAsia="黑体"/>
                <w:spacing w:val="-6"/>
              </w:rPr>
            </m:ctrlPr>
          </m:sub>
        </m:sSub>
      </m:oMath>
    </w:p>
    <w:p w14:paraId="0CBD5C36">
      <w:pPr>
        <w:wordWrap w:val="0"/>
        <w:spacing w:line="360" w:lineRule="auto"/>
        <w:ind w:firstLine="420"/>
        <w:rPr>
          <w:rFonts w:ascii="Times New Roman" w:hAnsi="Times New Roman"/>
        </w:rPr>
      </w:pPr>
      <w:r>
        <w:rPr>
          <w:rFonts w:ascii="Times New Roman" w:hAnsi="Times New Roman"/>
        </w:rPr>
        <w:t>根据结果的计算过程，在定值过程中，B类不确定度主要由以下几个部分引入：样品称量、配制标准溶液、试样稀释体积、标准曲线引入的不确定度。</w:t>
      </w:r>
    </w:p>
    <w:p w14:paraId="1360BC15">
      <w:pPr>
        <w:wordWrap w:val="0"/>
        <w:spacing w:line="360" w:lineRule="auto"/>
        <w:ind w:firstLine="420"/>
        <w:rPr>
          <w:rFonts w:ascii="Times New Roman" w:hAnsi="Times New Roman"/>
        </w:rPr>
      </w:pPr>
      <w:r>
        <w:rPr>
          <w:rFonts w:ascii="Times New Roman" w:hAnsi="Times New Roman"/>
        </w:rPr>
        <w:t>样品称量引入的不确定度</w:t>
      </w:r>
      <m:oMath>
        <m:sSub>
          <m:sSubPr>
            <m:ctrlPr>
              <w:rPr>
                <w:rFonts w:ascii="Cambria Math" w:hAnsi="Cambria Math"/>
              </w:rPr>
            </m:ctrlPr>
          </m:sSubPr>
          <m:e>
            <m:r>
              <m:rPr/>
              <w:rPr>
                <w:rFonts w:ascii="Cambria Math" w:hAnsi="Cambria Math"/>
              </w:rPr>
              <m:t>u</m:t>
            </m:r>
            <m:ctrlPr>
              <w:rPr>
                <w:rFonts w:ascii="Cambria Math" w:hAnsi="Cambria Math"/>
              </w:rPr>
            </m:ctrlPr>
          </m:e>
          <m:sub>
            <m:r>
              <m:rPr>
                <m:sty m:val="p"/>
              </m:rPr>
              <w:rPr>
                <w:rFonts w:ascii="Cambria Math" w:hAnsi="Cambria Math"/>
              </w:rPr>
              <m:t>1</m:t>
            </m:r>
            <m:ctrlPr>
              <w:rPr>
                <w:rFonts w:ascii="Cambria Math" w:hAnsi="Cambria Math"/>
              </w:rPr>
            </m:ctrlPr>
          </m:sub>
        </m:sSub>
      </m:oMath>
    </w:p>
    <w:p w14:paraId="213DCAE6">
      <w:pPr>
        <w:spacing w:line="360" w:lineRule="auto"/>
        <w:ind w:firstLine="420"/>
        <w:rPr>
          <w:rFonts w:ascii="Times New Roman" w:hAnsi="Times New Roman"/>
        </w:rPr>
      </w:pPr>
      <w:r>
        <w:rPr>
          <w:rFonts w:ascii="Times New Roman" w:hAnsi="Times New Roman"/>
        </w:rPr>
        <w:t>称量质量m=500 mg的不确定度来自两个方面：</w:t>
      </w:r>
    </w:p>
    <w:p w14:paraId="1567EAD7">
      <w:pPr>
        <w:spacing w:line="360" w:lineRule="auto"/>
        <w:ind w:firstLine="420"/>
        <w:rPr>
          <w:rFonts w:ascii="Times New Roman" w:hAnsi="Times New Roman"/>
        </w:rPr>
      </w:pPr>
      <w:r>
        <w:rPr>
          <w:rFonts w:ascii="Times New Roman" w:hAnsi="Times New Roman"/>
        </w:rPr>
        <w:t>一是天平的最大允差产生的不确定度，由天平检定证书得最大允差为0.5 mg，假设为矩形分布，则：</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1，变动性</m:t>
            </m:r>
            <m:ctrlPr>
              <w:rPr>
                <w:rFonts w:ascii="Cambria Math" w:hAnsi="Cambria Math"/>
              </w:rPr>
            </m:ctrlPr>
          </m:sub>
        </m:sSub>
        <m:r>
          <m:rPr>
            <m:nor/>
            <m:sty m:val="p"/>
          </m:rPr>
          <w:rPr>
            <w:rFonts w:ascii="Times New Roman" w:hAnsi="Times New Roman"/>
            <w:b w:val="0"/>
            <w:i w:val="0"/>
          </w:rPr>
          <m:t>=</m:t>
        </m:r>
        <m:f>
          <m:fPr>
            <m:type m:val="lin"/>
            <m:ctrlPr>
              <w:rPr>
                <w:rFonts w:ascii="Cambria Math" w:hAnsi="Cambria Math"/>
              </w:rPr>
            </m:ctrlPr>
          </m:fPr>
          <m:num>
            <m:r>
              <m:rPr>
                <m:nor/>
                <m:sty m:val="p"/>
              </m:rPr>
              <w:rPr>
                <w:rFonts w:ascii="Times New Roman" w:hAnsi="Times New Roman"/>
                <w:b w:val="0"/>
                <w:i w:val="0"/>
              </w:rPr>
              <m:t>0.5</m:t>
            </m:r>
            <m:ctrlPr>
              <w:rPr>
                <w:rFonts w:ascii="Cambria Math" w:hAnsi="Cambria Math"/>
                <w:i/>
              </w:rPr>
            </m:ctrlPr>
          </m:num>
          <m:den>
            <m:rad>
              <m:radPr>
                <m:degHide m:val="1"/>
                <m:ctrlPr>
                  <w:rPr>
                    <w:rFonts w:ascii="Cambria Math" w:hAnsi="Cambria Math"/>
                  </w:rPr>
                </m:ctrlPr>
              </m:radPr>
              <m:deg>
                <m:ctrlPr>
                  <w:rPr>
                    <w:rFonts w:ascii="Cambria Math" w:hAnsi="Cambria Math"/>
                  </w:rPr>
                </m:ctrlPr>
              </m:deg>
              <m:e>
                <m:r>
                  <m:rPr>
                    <m:nor/>
                    <m:sty m:val="p"/>
                  </m:rPr>
                  <w:rPr>
                    <w:rFonts w:ascii="Times New Roman" w:hAnsi="Times New Roman"/>
                    <w:b w:val="0"/>
                    <w:i w:val="0"/>
                  </w:rPr>
                  <m:t>3</m:t>
                </m:r>
                <m:ctrlPr>
                  <w:rPr>
                    <w:rFonts w:ascii="Cambria Math" w:hAnsi="Cambria Math"/>
                  </w:rPr>
                </m:ctrlPr>
              </m:e>
            </m:rad>
            <m:ctrlPr>
              <w:rPr>
                <w:rFonts w:ascii="Cambria Math" w:hAnsi="Cambria Math"/>
              </w:rPr>
            </m:ctrlPr>
          </m:den>
        </m:f>
        <m:r>
          <m:rPr>
            <m:nor/>
            <m:sty m:val="p"/>
          </m:rPr>
          <w:rPr>
            <w:rFonts w:ascii="Times New Roman" w:hAnsi="Times New Roman"/>
            <w:b w:val="0"/>
            <w:i w:val="0"/>
          </w:rPr>
          <m:t xml:space="preserve">=0.289 </m:t>
        </m:r>
      </m:oMath>
      <w:r>
        <w:rPr>
          <w:rFonts w:ascii="Times New Roman" w:hAnsi="Times New Roman"/>
        </w:rPr>
        <w:t>mg；</w:t>
      </w:r>
    </w:p>
    <w:p w14:paraId="0101A6BF">
      <w:pPr>
        <w:spacing w:line="360" w:lineRule="auto"/>
        <w:ind w:firstLine="420"/>
        <w:rPr>
          <w:rFonts w:ascii="Times New Roman" w:hAnsi="Times New Roman"/>
        </w:rPr>
      </w:pPr>
      <w:r>
        <w:rPr>
          <w:rFonts w:ascii="Times New Roman" w:hAnsi="Times New Roman"/>
        </w:rPr>
        <w:t>二是天平的变动性产生的不确定度，由天平检定证书得其变动性为1mg，假设正态分布，则：</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1，校正</m:t>
            </m:r>
            <m:ctrlPr>
              <w:rPr>
                <w:rFonts w:ascii="Cambria Math" w:hAnsi="Cambria Math"/>
              </w:rPr>
            </m:ctrlPr>
          </m:sub>
        </m:sSub>
        <m:r>
          <m:rPr>
            <m:nor/>
            <m:sty m:val="p"/>
          </m:rPr>
          <w:rPr>
            <w:rFonts w:ascii="Times New Roman" w:hAnsi="Times New Roman"/>
            <w:b w:val="0"/>
            <w:i w:val="0"/>
          </w:rPr>
          <m:t>=</m:t>
        </m:r>
      </m:oMath>
      <w:r>
        <w:rPr>
          <w:rFonts w:ascii="Times New Roman" w:hAnsi="Times New Roman"/>
        </w:rPr>
        <w:t>1/</w:t>
      </w:r>
      <m:oMath>
        <m:rad>
          <m:radPr>
            <m:degHide m:val="1"/>
            <m:ctrlPr>
              <w:rPr>
                <w:rFonts w:ascii="Cambria Math" w:hAnsi="Cambria Math"/>
              </w:rPr>
            </m:ctrlPr>
          </m:radPr>
          <m:deg>
            <m:ctrlPr>
              <w:rPr>
                <w:rFonts w:ascii="Cambria Math" w:hAnsi="Cambria Math"/>
              </w:rPr>
            </m:ctrlPr>
          </m:deg>
          <m:e>
            <m:r>
              <m:rPr>
                <m:nor/>
                <m:sty m:val="p"/>
              </m:rPr>
              <w:rPr>
                <w:rFonts w:ascii="Times New Roman" w:hAnsi="Times New Roman"/>
                <w:b w:val="0"/>
                <w:i w:val="0"/>
              </w:rPr>
              <m:t>3</m:t>
            </m:r>
            <m:ctrlPr>
              <w:rPr>
                <w:rFonts w:ascii="Cambria Math" w:hAnsi="Cambria Math"/>
              </w:rPr>
            </m:ctrlPr>
          </m:e>
        </m:rad>
      </m:oMath>
      <w:r>
        <w:rPr>
          <w:rFonts w:ascii="Times New Roman" w:hAnsi="Times New Roman"/>
        </w:rPr>
        <w:t>=0.58mg；此两项合成得出称量的标准不确定度为：</w:t>
      </w:r>
    </w:p>
    <w:p w14:paraId="510D8A6A">
      <w:pPr>
        <w:spacing w:line="360" w:lineRule="auto"/>
        <w:ind w:firstLine="420"/>
        <w:jc w:val="center"/>
        <w:rPr>
          <w:rFonts w:ascii="Times New Roman" w:hAnsi="Times New Roman"/>
        </w:rPr>
      </w:pPr>
      <m:oMathPara>
        <m:oMath>
          <m:sSub>
            <m:sSubPr>
              <m:ctrlPr>
                <w:rPr>
                  <w:rFonts w:ascii="Cambria Math" w:hAnsi="Cambria Math"/>
                </w:rPr>
              </m:ctrlPr>
            </m:sSubPr>
            <m:e>
              <m:r>
                <m:rPr>
                  <m:nor/>
                  <m:sty m:val="p"/>
                </m:rPr>
                <w:rPr>
                  <w:rFonts w:ascii="Times New Roman" w:hAnsi="Times New Roman"/>
                  <w:b w:val="0"/>
                  <w:i w:val="0"/>
                </w:rPr>
                <m:t>u</m:t>
              </m:r>
              <m:ctrlPr>
                <w:rPr>
                  <w:rFonts w:ascii="Cambria Math" w:hAnsi="Cambria Math"/>
                </w:rPr>
              </m:ctrlPr>
            </m:e>
            <m:sub>
              <m:r>
                <m:rPr>
                  <m:nor/>
                  <m:sty m:val="p"/>
                </m:rPr>
                <w:rPr>
                  <w:rFonts w:ascii="Times New Roman" w:hAnsi="Times New Roman"/>
                  <w:b w:val="0"/>
                  <w:i w:val="0"/>
                </w:rPr>
                <m:t>1</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r>
                    <m:rPr>
                      <m:nor/>
                      <m:sty m:val="p"/>
                    </m:rPr>
                    <w:rPr>
                      <w:rFonts w:ascii="Times New Roman" w:hAnsi="Times New Roman"/>
                      <w:b w:val="0"/>
                      <w:i w:val="0"/>
                    </w:rPr>
                    <m:t>0.289</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0.58</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=0.468 mg</m:t>
          </m:r>
        </m:oMath>
      </m:oMathPara>
    </w:p>
    <w:p w14:paraId="7385F567">
      <w:pPr>
        <w:pStyle w:val="12"/>
        <w:jc w:val="center"/>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1，rel</m:t>
              </m:r>
              <m:ctrlPr>
                <w:rPr>
                  <w:rFonts w:ascii="Cambria Math" w:hAnsi="Cambria Math"/>
                </w:rPr>
              </m:ctrlPr>
            </m:sub>
          </m:sSub>
          <m:r>
            <m:rPr>
              <m:nor/>
              <m:sty m:val="p"/>
            </m:rPr>
            <w:rPr>
              <w:rFonts w:ascii="Times New Roman" w:hAnsi="Times New Roman"/>
              <w:b w:val="0"/>
              <w:i w:val="0"/>
            </w:rPr>
            <m:t>=</m:t>
          </m:r>
          <m:f>
            <m:fPr>
              <m:type m:val="lin"/>
              <m:ctrlPr>
                <w:rPr>
                  <w:rFonts w:ascii="Cambria Math" w:hAnsi="Cambria Math"/>
                </w:rPr>
              </m:ctrlPr>
            </m:fPr>
            <m:num>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1</m:t>
                  </m:r>
                  <m:ctrlPr>
                    <w:rPr>
                      <w:rFonts w:ascii="Cambria Math" w:hAnsi="Cambria Math"/>
                    </w:rPr>
                  </m:ctrlPr>
                </m:sub>
              </m:sSub>
              <m:ctrlPr>
                <w:rPr>
                  <w:rFonts w:ascii="Cambria Math" w:hAnsi="Cambria Math"/>
                </w:rPr>
              </m:ctrlPr>
            </m:num>
            <m:den>
              <m:r>
                <m:rPr>
                  <m:nor/>
                  <m:sty m:val="p"/>
                </m:rPr>
                <w:rPr>
                  <w:rFonts w:ascii="Times New Roman" w:hAnsi="Times New Roman"/>
                  <w:b w:val="0"/>
                  <w:i w:val="0"/>
                </w:rPr>
                <m:t>m</m:t>
              </m:r>
              <m:ctrlPr>
                <w:rPr>
                  <w:rFonts w:ascii="Cambria Math" w:hAnsi="Cambria Math"/>
                </w:rPr>
              </m:ctrlPr>
            </m:den>
          </m:f>
          <m:r>
            <m:rPr>
              <m:nor/>
              <m:sty m:val="p"/>
            </m:rPr>
            <w:rPr>
              <w:rFonts w:ascii="Times New Roman" w:hAnsi="Times New Roman"/>
              <w:b w:val="0"/>
              <w:i w:val="0"/>
            </w:rPr>
            <m:t>=</m:t>
          </m:r>
          <m:f>
            <m:fPr>
              <m:type m:val="lin"/>
              <m:ctrlPr>
                <w:rPr>
                  <w:rFonts w:ascii="Cambria Math" w:hAnsi="Cambria Math"/>
                </w:rPr>
              </m:ctrlPr>
            </m:fPr>
            <m:num>
              <m:r>
                <m:rPr>
                  <m:nor/>
                  <m:sty m:val="p"/>
                </m:rPr>
                <w:rPr>
                  <w:rFonts w:ascii="Times New Roman" w:hAnsi="Times New Roman"/>
                  <w:b w:val="0"/>
                  <w:i w:val="0"/>
                </w:rPr>
                <m:t>0.468</m:t>
              </m:r>
              <m:ctrlPr>
                <w:rPr>
                  <w:rFonts w:ascii="Cambria Math" w:hAnsi="Cambria Math"/>
                </w:rPr>
              </m:ctrlPr>
            </m:num>
            <m:den>
              <m:r>
                <m:rPr>
                  <m:nor/>
                  <m:sty m:val="p"/>
                </m:rPr>
                <w:rPr>
                  <w:rFonts w:ascii="Times New Roman" w:hAnsi="Times New Roman"/>
                  <w:b w:val="0"/>
                  <w:i w:val="0"/>
                </w:rPr>
                <m:t>500</m:t>
              </m:r>
              <m:ctrlPr>
                <w:rPr>
                  <w:rFonts w:ascii="Cambria Math" w:hAnsi="Cambria Math"/>
                </w:rPr>
              </m:ctrlPr>
            </m:den>
          </m:f>
          <m:r>
            <m:rPr>
              <m:nor/>
              <m:sty m:val="p"/>
            </m:rPr>
            <w:rPr>
              <w:rFonts w:ascii="Times New Roman" w:hAnsi="Times New Roman"/>
              <w:b w:val="0"/>
              <w:i w:val="0"/>
            </w:rPr>
            <m:t>=0.0936%</m:t>
          </m:r>
        </m:oMath>
      </m:oMathPara>
    </w:p>
    <w:p w14:paraId="31F83900">
      <w:pPr>
        <w:spacing w:line="360" w:lineRule="auto"/>
        <w:ind w:firstLine="420"/>
        <w:rPr>
          <w:rFonts w:ascii="Times New Roman" w:hAnsi="Times New Roman"/>
          <w:vertAlign w:val="subscript"/>
        </w:rPr>
      </w:pPr>
      <w:r>
        <w:rPr>
          <w:rFonts w:ascii="Times New Roman" w:hAnsi="Times New Roman"/>
        </w:rPr>
        <w:t>配制标准溶液引入的不确定度</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2</m:t>
            </m:r>
            <m:ctrlPr>
              <w:rPr>
                <w:rFonts w:ascii="Cambria Math" w:hAnsi="Cambria Math"/>
              </w:rPr>
            </m:ctrlPr>
          </m:sub>
        </m:sSub>
      </m:oMath>
    </w:p>
    <w:p w14:paraId="335DFE19">
      <w:pPr>
        <w:spacing w:line="360" w:lineRule="auto"/>
        <w:ind w:firstLine="420"/>
        <w:rPr>
          <w:rFonts w:ascii="Times New Roman" w:hAnsi="Times New Roman"/>
        </w:rPr>
      </w:pPr>
      <w:r>
        <w:rPr>
          <w:rFonts w:ascii="Times New Roman" w:hAnsi="Times New Roman"/>
        </w:rPr>
        <w:t>（1）DHA标准物质引入的不确定度：</w:t>
      </w:r>
    </w:p>
    <w:p w14:paraId="5AC4FE25">
      <w:pPr>
        <w:spacing w:line="360" w:lineRule="auto"/>
        <w:ind w:firstLine="420"/>
        <w:rPr>
          <w:rFonts w:ascii="Times New Roman" w:hAnsi="Times New Roman"/>
        </w:rPr>
      </w:pPr>
      <w:r>
        <w:rPr>
          <w:rFonts w:ascii="Times New Roman" w:hAnsi="Times New Roman"/>
        </w:rPr>
        <w:t>DHA由Sigma-aldrich提供，标准证书给出DHA的相对扩展不确定度</w:t>
      </w:r>
      <m:oMath>
        <m:r>
          <m:rPr>
            <m:nor/>
          </m:rPr>
          <w:rPr>
            <w:rFonts w:ascii="Times New Roman" w:hAnsi="Times New Roman"/>
            <w:i/>
          </w:rPr>
          <m:t>U</m:t>
        </m:r>
        <m:r>
          <m:rPr>
            <m:nor/>
            <m:sty m:val="p"/>
          </m:rPr>
          <w:rPr>
            <w:rFonts w:ascii="Times New Roman" w:hAnsi="Times New Roman"/>
            <w:b w:val="0"/>
            <w:i w:val="0"/>
          </w:rPr>
          <m:t>=2.3 μg/mL</m:t>
        </m:r>
      </m:oMath>
      <w:r>
        <w:rPr>
          <w:rFonts w:ascii="Times New Roman" w:hAnsi="Times New Roman"/>
        </w:rPr>
        <w:t>，扩展因子</w:t>
      </w:r>
      <m:oMath>
        <m:r>
          <m:rPr>
            <m:nor/>
          </m:rPr>
          <w:rPr>
            <w:rFonts w:ascii="Times New Roman" w:hAnsi="Times New Roman"/>
            <w:i/>
          </w:rPr>
          <m:t>k</m:t>
        </m:r>
        <m:r>
          <m:rPr>
            <m:nor/>
            <m:sty m:val="p"/>
          </m:rPr>
          <w:rPr>
            <w:rFonts w:ascii="Times New Roman" w:hAnsi="Times New Roman"/>
            <w:b w:val="0"/>
            <w:i w:val="0"/>
          </w:rPr>
          <m:t>=2</m:t>
        </m:r>
      </m:oMath>
      <w:r>
        <w:rPr>
          <w:rFonts w:ascii="Times New Roman" w:hAnsi="Times New Roman"/>
        </w:rPr>
        <w:t>，则DHA标准物质纯度的不确定度为：</w:t>
      </w:r>
    </w:p>
    <w:p w14:paraId="7D1801B4">
      <w:pPr>
        <w:widowControl/>
        <w:kinsoku w:val="0"/>
        <w:autoSpaceDE w:val="0"/>
        <w:autoSpaceDN w:val="0"/>
        <w:snapToGrid w:val="0"/>
        <w:spacing w:line="360" w:lineRule="auto"/>
        <w:ind w:firstLine="420"/>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(p)</m:t>
              </m:r>
              <m:ctrlPr>
                <w:rPr>
                  <w:rFonts w:ascii="Cambria Math" w:hAnsi="Cambria Math"/>
                </w:rPr>
              </m:ctrlPr>
            </m:sub>
          </m:sSub>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2.3</m:t>
              </m:r>
              <m:ctrlPr>
                <w:rPr>
                  <w:rFonts w:ascii="Cambria Math" w:hAnsi="Cambria Math"/>
                </w:rPr>
              </m:ctrlPr>
            </m:num>
            <m:den>
              <m:r>
                <m:rPr>
                  <m:nor/>
                  <m:sty m:val="p"/>
                </m:rPr>
                <w:rPr>
                  <w:rFonts w:ascii="Times New Roman" w:hAnsi="Times New Roman"/>
                  <w:b w:val="0"/>
                  <w:i w:val="0"/>
                </w:rPr>
                <m:t>2</m:t>
              </m:r>
              <m:ctrlPr>
                <w:rPr>
                  <w:rFonts w:ascii="Cambria Math" w:hAnsi="Cambria Math"/>
                </w:rPr>
              </m:ctrlPr>
            </m:den>
          </m:f>
          <m:r>
            <m:rPr>
              <m:nor/>
              <m:sty m:val="p"/>
            </m:rPr>
            <w:rPr>
              <w:rFonts w:ascii="Times New Roman" w:hAnsi="Times New Roman"/>
              <w:b w:val="0"/>
              <w:i w:val="0"/>
            </w:rPr>
            <m:t>=1.05 μg/mL</m:t>
          </m:r>
        </m:oMath>
      </m:oMathPara>
    </w:p>
    <w:p w14:paraId="023B974F">
      <w:pPr>
        <w:spacing w:line="360" w:lineRule="auto"/>
        <w:ind w:firstLine="420"/>
        <w:rPr>
          <w:rFonts w:ascii="Times New Roman" w:hAnsi="Times New Roman"/>
        </w:rPr>
      </w:pPr>
      <w:r>
        <w:rPr>
          <w:rFonts w:ascii="Times New Roman" w:hAnsi="Times New Roman"/>
        </w:rPr>
        <w:t>DHA溶液标准物质的相对不确定度：</w:t>
      </w:r>
    </w:p>
    <w:p w14:paraId="67D38BA3">
      <w:pPr>
        <w:widowControl/>
        <w:kinsoku w:val="0"/>
        <w:autoSpaceDE w:val="0"/>
        <w:autoSpaceDN w:val="0"/>
        <w:snapToGrid w:val="0"/>
        <w:spacing w:line="360" w:lineRule="auto"/>
        <w:ind w:firstLine="420"/>
        <w:jc w:val="center"/>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rPr>
                <w:rPr>
                  <w:rFonts w:ascii="Times New Roman" w:hAnsi="Times New Roman"/>
                  <w:i/>
                </w:rPr>
                <m:t>rel</m:t>
              </m:r>
              <m:r>
                <m:rPr>
                  <m:nor/>
                  <m:sty m:val="p"/>
                </m:rPr>
                <w:rPr>
                  <w:rFonts w:ascii="Times New Roman" w:hAnsi="Times New Roman"/>
                  <w:b w:val="0"/>
                  <w:i w:val="0"/>
                </w:rPr>
                <m:t>(p)</m:t>
              </m:r>
              <m:ctrlPr>
                <w:rPr>
                  <w:rFonts w:ascii="Cambria Math" w:hAnsi="Cambria Math"/>
                </w:rPr>
              </m:ctrlPr>
            </m:sub>
          </m:sSub>
          <m:r>
            <m:rPr>
              <m:nor/>
              <m:sty m:val="p"/>
            </m:rPr>
            <w:rPr>
              <w:rFonts w:ascii="Times New Roman" w:hAnsi="Times New Roman"/>
              <w:b w:val="0"/>
              <w:i w:val="0"/>
            </w:rPr>
            <m:t>=1.05/500=0.21%</m:t>
          </m:r>
        </m:oMath>
      </m:oMathPara>
    </w:p>
    <w:p w14:paraId="299C46C7">
      <w:pPr>
        <w:spacing w:line="360" w:lineRule="auto"/>
        <w:ind w:firstLine="420"/>
        <w:rPr>
          <w:rFonts w:ascii="Times New Roman" w:hAnsi="Times New Roman"/>
        </w:rPr>
      </w:pPr>
      <w:r>
        <w:rPr>
          <w:rFonts w:ascii="Times New Roman" w:hAnsi="Times New Roman"/>
        </w:rPr>
        <w:t>（2）稀释过程引入的不确定度：</w:t>
      </w:r>
    </w:p>
    <w:p w14:paraId="1D3BE6B4">
      <w:pPr>
        <w:spacing w:line="360" w:lineRule="auto"/>
        <w:ind w:firstLine="420"/>
        <w:rPr>
          <w:rFonts w:ascii="Times New Roman" w:hAnsi="Times New Roman"/>
        </w:rPr>
      </w:pPr>
      <w:r>
        <w:rPr>
          <w:rFonts w:ascii="Times New Roman" w:hAnsi="Times New Roman"/>
        </w:rPr>
        <w:t>使用1 mL移液器两次和10 mL容量瓶一次，因为体积引入的不确定度主要包括量器本身、温度以及使用重复性引入的不确定度：</w:t>
      </w:r>
    </w:p>
    <w:p w14:paraId="4432A52B">
      <w:pPr>
        <w:spacing w:line="360" w:lineRule="auto"/>
        <w:ind w:firstLine="420"/>
        <w:rPr>
          <w:rFonts w:ascii="Times New Roman" w:hAnsi="Times New Roman"/>
        </w:rPr>
      </w:pPr>
      <w:r>
        <w:rPr>
          <w:rFonts w:ascii="Times New Roman" w:hAnsi="Times New Roman"/>
        </w:rPr>
        <w:t>1 mL移液器移取2次1 mL溶液引入的不确定度：</w:t>
      </w:r>
    </w:p>
    <w:p w14:paraId="75329C60">
      <w:pPr>
        <w:spacing w:line="360" w:lineRule="auto"/>
        <w:ind w:firstLine="420"/>
        <w:rPr>
          <w:rFonts w:ascii="Times New Roman" w:hAnsi="Times New Roman"/>
        </w:rPr>
      </w:pPr>
      <w:r>
        <w:rPr>
          <w:rFonts w:ascii="Times New Roman" w:hAnsi="Times New Roman"/>
        </w:rPr>
        <w:t>（a）移液器误差产生的不确定度：所用移液器的检定结果显示，最大容量允许误差为0.009 mL，体积误差产生的不确定度假设为三角形分布，则转化成标准偏差：</w:t>
      </w:r>
    </w:p>
    <w:p w14:paraId="467EEB2D">
      <w:pPr>
        <w:spacing w:line="360" w:lineRule="auto"/>
        <w:ind w:firstLine="420"/>
        <w:rPr>
          <w:rFonts w:ascii="Times New Roman" w:hAnsi="Times New Roman"/>
        </w:rPr>
      </w:pPr>
      <w:r>
        <w:rPr>
          <w:rFonts w:ascii="Times New Roman" w:hAnsi="Times New Roman"/>
        </w:rPr>
        <w:t>0.009 mL/</w:t>
      </w:r>
      <m:oMath>
        <m:rad>
          <m:radPr>
            <m:degHide m:val="1"/>
            <m:ctrlPr>
              <w:rPr>
                <w:rFonts w:ascii="Cambria Math" w:hAnsi="Cambria Math"/>
              </w:rPr>
            </m:ctrlPr>
          </m:radPr>
          <m:deg>
            <m:ctrlPr>
              <w:rPr>
                <w:rFonts w:ascii="Cambria Math" w:hAnsi="Cambria Math"/>
              </w:rPr>
            </m:ctrlPr>
          </m:deg>
          <m:e>
            <m:r>
              <m:rPr>
                <m:nor/>
                <m:sty m:val="p"/>
              </m:rPr>
              <w:rPr>
                <w:rFonts w:ascii="Times New Roman" w:hAnsi="Times New Roman"/>
                <w:b w:val="0"/>
                <w:i w:val="0"/>
              </w:rPr>
              <m:t>6</m:t>
            </m:r>
            <m:ctrlPr>
              <w:rPr>
                <w:rFonts w:ascii="Cambria Math" w:hAnsi="Cambria Math"/>
              </w:rPr>
            </m:ctrlPr>
          </m:e>
        </m:rad>
      </m:oMath>
      <w:r>
        <w:rPr>
          <w:rFonts w:ascii="Times New Roman" w:hAnsi="Times New Roman"/>
        </w:rPr>
        <w:t>=0.0037 mL。</w:t>
      </w:r>
    </w:p>
    <w:p w14:paraId="55D99F0D">
      <w:pPr>
        <w:spacing w:line="360" w:lineRule="auto"/>
        <w:ind w:firstLine="420"/>
        <w:rPr>
          <w:rFonts w:ascii="Times New Roman" w:hAnsi="Times New Roman"/>
        </w:rPr>
      </w:pPr>
      <w:r>
        <w:rPr>
          <w:rFonts w:ascii="Times New Roman" w:hAnsi="Times New Roman"/>
        </w:rPr>
        <w:t>（b）移液器至刻度的随机变化产生的不确定度：通过反复充满移液器进行称量，反复充满10次得出的标准偏差为0.007 mL。</w:t>
      </w:r>
    </w:p>
    <w:p w14:paraId="2C817825">
      <w:pPr>
        <w:spacing w:line="360" w:lineRule="auto"/>
        <w:ind w:left="105" w:leftChars="50" w:firstLine="315" w:firstLineChars="150"/>
        <w:rPr>
          <w:rFonts w:ascii="Times New Roman" w:hAnsi="Times New Roman"/>
        </w:rPr>
      </w:pPr>
      <w:r>
        <w:rPr>
          <w:rFonts w:ascii="Times New Roman" w:hAnsi="Times New Roman"/>
        </w:rPr>
        <w:t>（c）溶剂体积随温度变化产生的不确定度：实验温度控制在20℃±2 ℃，水膨胀系数</w:t>
      </w:r>
      <m:oMath>
        <m:r>
          <m:rPr>
            <m:nor/>
            <m:sty m:val="p"/>
          </m:rPr>
          <w:rPr>
            <w:rFonts w:ascii="Times New Roman" w:hAnsi="Times New Roman"/>
            <w:b w:val="0"/>
            <w:i w:val="0"/>
          </w:rPr>
          <m:t>2.1×</m:t>
        </m:r>
        <m:sSup>
          <m:sSupPr>
            <m:ctrlPr>
              <w:rPr>
                <w:rFonts w:ascii="Cambria Math" w:hAnsi="Cambria Math"/>
              </w:rPr>
            </m:ctrlPr>
          </m:sSupPr>
          <m:e>
            <m:r>
              <m:rPr>
                <m:nor/>
                <m:sty m:val="p"/>
              </m:rPr>
              <w:rPr>
                <w:rFonts w:ascii="Times New Roman" w:hAnsi="Times New Roman"/>
                <w:b w:val="0"/>
                <w:i w:val="0"/>
              </w:rPr>
              <m:t>10</m:t>
            </m:r>
            <m:ctrlPr>
              <w:rPr>
                <w:rFonts w:ascii="Cambria Math" w:hAnsi="Cambria Math"/>
              </w:rPr>
            </m:ctrlPr>
          </m:e>
          <m:sup>
            <m:r>
              <m:rPr>
                <m:nor/>
                <m:sty m:val="p"/>
              </m:rPr>
              <w:rPr>
                <w:rFonts w:ascii="Times New Roman" w:hAnsi="Times New Roman"/>
                <w:b w:val="0"/>
                <w:i w:val="0"/>
              </w:rPr>
              <m:t>-4</m:t>
            </m:r>
            <m:ctrlPr>
              <w:rPr>
                <w:rFonts w:ascii="Cambria Math" w:hAnsi="Cambria Math"/>
              </w:rPr>
            </m:ctrlPr>
          </m:sup>
        </m:sSup>
        <m:sSup>
          <m:sSupPr>
            <m:ctrlPr>
              <w:rPr>
                <w:rFonts w:ascii="Cambria Math" w:hAnsi="Cambria Math"/>
              </w:rPr>
            </m:ctrlPr>
          </m:sSupPr>
          <m:e>
            <m:r>
              <m:rPr>
                <m:nor/>
                <m:sty m:val="p"/>
              </m:rPr>
              <w:rPr>
                <w:rFonts w:ascii="Times New Roman" w:hAnsi="Times New Roman"/>
                <w:b w:val="0"/>
                <w:i w:val="0"/>
              </w:rPr>
              <m:t>℃</m:t>
            </m:r>
            <m:ctrlPr>
              <w:rPr>
                <w:rFonts w:ascii="Cambria Math" w:hAnsi="Cambria Math"/>
              </w:rPr>
            </m:ctrlPr>
          </m:e>
          <m:sup>
            <m:r>
              <m:rPr>
                <m:nor/>
                <m:sty m:val="p"/>
              </m:rPr>
              <w:rPr>
                <w:rFonts w:ascii="Times New Roman" w:hAnsi="Times New Roman"/>
                <w:b w:val="0"/>
                <w:i w:val="0"/>
              </w:rPr>
              <m:t>-1</m:t>
            </m:r>
            <m:ctrlPr>
              <w:rPr>
                <w:rFonts w:ascii="Cambria Math" w:hAnsi="Cambria Math"/>
              </w:rPr>
            </m:ctrlPr>
          </m:sup>
        </m:sSup>
      </m:oMath>
      <w:r>
        <w:rPr>
          <w:rFonts w:ascii="Times New Roman" w:hAnsi="Times New Roman"/>
        </w:rPr>
        <w:t>，产生的体积变化</w:t>
      </w:r>
      <m:oMath>
        <m:r>
          <m:rPr>
            <m:nor/>
            <m:sty m:val="p"/>
          </m:rPr>
          <w:rPr>
            <w:rFonts w:ascii="Times New Roman" w:hAnsi="Times New Roman"/>
            <w:b w:val="0"/>
            <w:i w:val="0"/>
          </w:rPr>
          <m:t>±1 ml×2℃×2.1×</m:t>
        </m:r>
        <m:sSup>
          <m:sSupPr>
            <m:ctrlPr>
              <w:rPr>
                <w:rFonts w:ascii="Cambria Math" w:hAnsi="Cambria Math"/>
              </w:rPr>
            </m:ctrlPr>
          </m:sSupPr>
          <m:e>
            <m:r>
              <m:rPr>
                <m:nor/>
                <m:sty m:val="p"/>
              </m:rPr>
              <w:rPr>
                <w:rFonts w:ascii="Times New Roman" w:hAnsi="Times New Roman"/>
                <w:b w:val="0"/>
                <w:i w:val="0"/>
              </w:rPr>
              <m:t>10</m:t>
            </m:r>
            <m:ctrlPr>
              <w:rPr>
                <w:rFonts w:ascii="Cambria Math" w:hAnsi="Cambria Math"/>
              </w:rPr>
            </m:ctrlPr>
          </m:e>
          <m:sup>
            <m:r>
              <m:rPr>
                <m:nor/>
                <m:sty m:val="p"/>
              </m:rPr>
              <w:rPr>
                <w:rFonts w:ascii="Times New Roman" w:hAnsi="Times New Roman"/>
                <w:b w:val="0"/>
                <w:i w:val="0"/>
              </w:rPr>
              <m:t>-4</m:t>
            </m:r>
            <m:ctrlPr>
              <w:rPr>
                <w:rFonts w:ascii="Cambria Math" w:hAnsi="Cambria Math"/>
              </w:rPr>
            </m:ctrlPr>
          </m:sup>
        </m:sSup>
        <m:sSup>
          <m:sSupPr>
            <m:ctrlPr>
              <w:rPr>
                <w:rFonts w:ascii="Cambria Math" w:hAnsi="Cambria Math"/>
              </w:rPr>
            </m:ctrlPr>
          </m:sSupPr>
          <m:e>
            <m:r>
              <m:rPr>
                <m:nor/>
                <m:sty m:val="p"/>
              </m:rPr>
              <w:rPr>
                <w:rFonts w:ascii="Times New Roman" w:hAnsi="Times New Roman"/>
                <w:b w:val="0"/>
                <w:i w:val="0"/>
              </w:rPr>
              <m:t>℃</m:t>
            </m:r>
            <m:ctrlPr>
              <w:rPr>
                <w:rFonts w:ascii="Cambria Math" w:hAnsi="Cambria Math"/>
              </w:rPr>
            </m:ctrlPr>
          </m:e>
          <m:sup>
            <m:r>
              <m:rPr>
                <m:nor/>
                <m:sty m:val="p"/>
              </m:rPr>
              <w:rPr>
                <w:rFonts w:ascii="Times New Roman" w:hAnsi="Times New Roman"/>
                <w:b w:val="0"/>
                <w:i w:val="0"/>
              </w:rPr>
              <m:t>-1</m:t>
            </m:r>
            <m:ctrlPr>
              <w:rPr>
                <w:rFonts w:ascii="Cambria Math" w:hAnsi="Cambria Math"/>
              </w:rPr>
            </m:ctrlPr>
          </m:sup>
        </m:sSup>
        <m:r>
          <m:rPr>
            <m:nor/>
            <m:sty m:val="p"/>
          </m:rPr>
          <w:rPr>
            <w:rFonts w:ascii="Times New Roman" w:hAnsi="Times New Roman"/>
            <w:b w:val="0"/>
            <w:i w:val="0"/>
          </w:rPr>
          <m:t>=0.00042 mL</m:t>
        </m:r>
      </m:oMath>
      <w:r>
        <w:rPr>
          <w:rFonts w:ascii="Times New Roman" w:hAnsi="Times New Roman"/>
        </w:rPr>
        <w:t>，温度变化按照均匀分布转化为标准偏差</w:t>
      </w:r>
      <m:oMath>
        <m:r>
          <m:rPr>
            <m:nor/>
            <m:sty m:val="p"/>
          </m:rPr>
          <w:rPr>
            <w:rFonts w:ascii="Times New Roman" w:hAnsi="Times New Roman"/>
            <w:b w:val="0"/>
            <w:i w:val="0"/>
          </w:rPr>
          <m:t>0.00042 mL/</m:t>
        </m:r>
        <m:rad>
          <m:radPr>
            <m:degHide m:val="1"/>
            <m:ctrlPr>
              <w:rPr>
                <w:rFonts w:ascii="Cambria Math" w:hAnsi="Cambria Math"/>
              </w:rPr>
            </m:ctrlPr>
          </m:radPr>
          <m:deg>
            <m:ctrlPr>
              <w:rPr>
                <w:rFonts w:ascii="Cambria Math" w:hAnsi="Cambria Math"/>
              </w:rPr>
            </m:ctrlPr>
          </m:deg>
          <m:e>
            <m:r>
              <m:rPr>
                <m:nor/>
                <m:sty m:val="p"/>
              </m:rPr>
              <w:rPr>
                <w:rFonts w:ascii="Times New Roman" w:hAnsi="Times New Roman"/>
                <w:b w:val="0"/>
                <w:i w:val="0"/>
              </w:rPr>
              <m:t>3</m:t>
            </m:r>
            <m:ctrlPr>
              <w:rPr>
                <w:rFonts w:ascii="Cambria Math" w:hAnsi="Cambria Math"/>
              </w:rPr>
            </m:ctrlPr>
          </m:e>
        </m:rad>
        <m:r>
          <m:rPr>
            <m:nor/>
            <m:sty m:val="p"/>
          </m:rPr>
          <w:rPr>
            <w:rFonts w:ascii="Times New Roman" w:hAnsi="Times New Roman"/>
            <w:b w:val="0"/>
            <w:i w:val="0"/>
          </w:rPr>
          <m:t>=0.000242 mL</m:t>
        </m:r>
      </m:oMath>
      <w:r>
        <w:rPr>
          <w:rFonts w:ascii="Times New Roman" w:hAnsi="Times New Roman"/>
        </w:rPr>
        <w:t>。</w:t>
      </w:r>
    </w:p>
    <w:p w14:paraId="4D3F36C8">
      <w:pPr>
        <w:widowControl/>
        <w:kinsoku w:val="0"/>
        <w:autoSpaceDE w:val="0"/>
        <w:autoSpaceDN w:val="0"/>
        <w:snapToGrid w:val="0"/>
        <w:spacing w:line="360" w:lineRule="auto"/>
        <w:ind w:firstLine="420"/>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移液器1mL</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r>
                    <m:rPr>
                      <m:nor/>
                      <m:sty m:val="p"/>
                    </m:rPr>
                    <w:rPr>
                      <w:rFonts w:ascii="Times New Roman" w:hAnsi="Times New Roman"/>
                      <w:b w:val="0"/>
                      <w:i w:val="0"/>
                    </w:rPr>
                    <m:t>0.0037</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0.007</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0.000242</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 xml:space="preserve"> mL=0.007921mL</m:t>
          </m:r>
        </m:oMath>
      </m:oMathPara>
    </w:p>
    <w:p w14:paraId="45E346D3">
      <w:pPr>
        <w:widowControl/>
        <w:kinsoku w:val="0"/>
        <w:autoSpaceDE w:val="0"/>
        <w:autoSpaceDN w:val="0"/>
        <w:snapToGrid w:val="0"/>
        <w:spacing w:line="360" w:lineRule="auto"/>
        <w:ind w:firstLine="420"/>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移液管1mL，rel</m:t>
              </m:r>
              <m:ctrlPr>
                <w:rPr>
                  <w:rFonts w:ascii="Cambria Math" w:hAnsi="Cambria Math"/>
                </w:rPr>
              </m:ctrlPr>
            </m:sub>
          </m:sSub>
          <m:r>
            <m:rPr>
              <m:nor/>
              <m:sty m:val="p"/>
            </m:rPr>
            <w:rPr>
              <w:rFonts w:ascii="Times New Roman" w:hAnsi="Times New Roman"/>
              <w:b w:val="0"/>
              <w:i w:val="0"/>
            </w:rPr>
            <m:t>=</m:t>
          </m:r>
          <m:f>
            <m:fPr>
              <m:type m:val="lin"/>
              <m:ctrlPr>
                <w:rPr>
                  <w:rFonts w:ascii="Cambria Math" w:hAnsi="Cambria Math"/>
                </w:rPr>
              </m:ctrlPr>
            </m:fPr>
            <m:num>
              <m:r>
                <m:rPr>
                  <m:nor/>
                  <m:sty m:val="p"/>
                </m:rPr>
                <w:rPr>
                  <w:rFonts w:ascii="Times New Roman" w:hAnsi="Times New Roman"/>
                  <w:b w:val="0"/>
                  <w:i w:val="0"/>
                </w:rPr>
                <m:t>2×0.00792</m:t>
              </m:r>
              <m:ctrlPr>
                <w:rPr>
                  <w:rFonts w:ascii="Cambria Math" w:hAnsi="Cambria Math"/>
                </w:rPr>
              </m:ctrlPr>
            </m:num>
            <m:den>
              <m:r>
                <m:rPr>
                  <m:nor/>
                  <m:sty m:val="p"/>
                </m:rPr>
                <w:rPr>
                  <w:rFonts w:ascii="Times New Roman" w:hAnsi="Times New Roman"/>
                  <w:b w:val="0"/>
                  <w:i w:val="0"/>
                </w:rPr>
                <m:t>1</m:t>
              </m:r>
              <m:ctrlPr>
                <w:rPr>
                  <w:rFonts w:ascii="Cambria Math" w:hAnsi="Cambria Math"/>
                </w:rPr>
              </m:ctrlPr>
            </m:den>
          </m:f>
          <m:r>
            <m:rPr>
              <m:nor/>
              <m:sty m:val="p"/>
            </m:rPr>
            <w:rPr>
              <w:rFonts w:ascii="Times New Roman" w:hAnsi="Times New Roman"/>
              <w:b w:val="0"/>
              <w:i w:val="0"/>
            </w:rPr>
            <m:t>=0.3245%;</m:t>
          </m:r>
        </m:oMath>
      </m:oMathPara>
    </w:p>
    <w:p w14:paraId="347C6622">
      <w:pPr>
        <w:spacing w:line="360" w:lineRule="auto"/>
        <w:ind w:firstLine="420"/>
        <w:rPr>
          <w:rFonts w:ascii="Times New Roman" w:hAnsi="Times New Roman"/>
        </w:rPr>
      </w:pPr>
      <w:r>
        <w:rPr>
          <w:rFonts w:ascii="Times New Roman" w:hAnsi="Times New Roman"/>
        </w:rPr>
        <w:t>10 mL容量瓶定容引入的不确定度：</w:t>
      </w:r>
    </w:p>
    <w:p w14:paraId="1F023FAD">
      <w:pPr>
        <w:spacing w:line="360" w:lineRule="auto"/>
        <w:ind w:firstLine="420"/>
        <w:rPr>
          <w:rFonts w:ascii="Times New Roman" w:hAnsi="Times New Roman"/>
        </w:rPr>
      </w:pPr>
      <w:r>
        <w:rPr>
          <w:rFonts w:ascii="Times New Roman" w:hAnsi="Times New Roman"/>
        </w:rPr>
        <w:t>（a）容量瓶误差产生的不确定度：所用容量瓶的检定结果显示，最大容量允许误差为0.02 mL，体积误差产生的不确定度假设为三角形分布，则转化成标准偏差：0.02 mL/</w:t>
      </w:r>
      <m:oMath>
        <m:rad>
          <m:radPr>
            <m:degHide m:val="1"/>
            <m:ctrlPr>
              <w:rPr>
                <w:rFonts w:ascii="Cambria Math" w:hAnsi="Cambria Math"/>
              </w:rPr>
            </m:ctrlPr>
          </m:radPr>
          <m:deg>
            <m:ctrlPr>
              <w:rPr>
                <w:rFonts w:ascii="Cambria Math" w:hAnsi="Cambria Math"/>
              </w:rPr>
            </m:ctrlPr>
          </m:deg>
          <m:e>
            <m:r>
              <m:rPr>
                <m:nor/>
                <m:sty m:val="p"/>
              </m:rPr>
              <w:rPr>
                <w:rFonts w:ascii="Times New Roman" w:hAnsi="Times New Roman"/>
                <w:b w:val="0"/>
                <w:i w:val="0"/>
              </w:rPr>
              <m:t>6</m:t>
            </m:r>
            <m:ctrlPr>
              <w:rPr>
                <w:rFonts w:ascii="Cambria Math" w:hAnsi="Cambria Math"/>
              </w:rPr>
            </m:ctrlPr>
          </m:e>
        </m:rad>
      </m:oMath>
      <w:r>
        <w:rPr>
          <w:rFonts w:ascii="Times New Roman" w:hAnsi="Times New Roman"/>
        </w:rPr>
        <w:t>=0.00817mL。</w:t>
      </w:r>
    </w:p>
    <w:p w14:paraId="43645800">
      <w:pPr>
        <w:spacing w:line="360" w:lineRule="auto"/>
        <w:ind w:firstLine="420"/>
        <w:rPr>
          <w:rFonts w:ascii="Times New Roman" w:hAnsi="Times New Roman"/>
        </w:rPr>
      </w:pPr>
      <w:r>
        <w:rPr>
          <w:rFonts w:ascii="Times New Roman" w:hAnsi="Times New Roman"/>
        </w:rPr>
        <w:t>（b）容量瓶至刻度的随机变化产生的不确定度：通过反复充满容量瓶进行称量，反复充满10次得出的标准偏差为0.003mL。</w:t>
      </w:r>
    </w:p>
    <w:p w14:paraId="7DE52E7E">
      <w:pPr>
        <w:spacing w:line="360" w:lineRule="auto"/>
        <w:ind w:left="105" w:leftChars="50" w:firstLine="315" w:firstLineChars="150"/>
        <w:rPr>
          <w:rFonts w:ascii="Times New Roman" w:hAnsi="Times New Roman"/>
        </w:rPr>
      </w:pPr>
      <w:r>
        <w:rPr>
          <w:rFonts w:ascii="Times New Roman" w:hAnsi="Times New Roman"/>
        </w:rPr>
        <w:t>（c）溶剂体积随温度变化产生的不确定度：实验温度控制在20±2 ℃，水膨胀系数</w:t>
      </w:r>
      <m:oMath>
        <m:r>
          <m:rPr>
            <m:nor/>
            <m:sty m:val="p"/>
          </m:rPr>
          <w:rPr>
            <w:rFonts w:ascii="Times New Roman" w:hAnsi="Times New Roman"/>
            <w:b w:val="0"/>
            <w:i w:val="0"/>
          </w:rPr>
          <m:t>2.1×</m:t>
        </m:r>
        <m:sSup>
          <m:sSupPr>
            <m:ctrlPr>
              <w:rPr>
                <w:rFonts w:ascii="Cambria Math" w:hAnsi="Cambria Math"/>
              </w:rPr>
            </m:ctrlPr>
          </m:sSupPr>
          <m:e>
            <m:r>
              <m:rPr>
                <m:nor/>
                <m:sty m:val="p"/>
              </m:rPr>
              <w:rPr>
                <w:rFonts w:ascii="Times New Roman" w:hAnsi="Times New Roman"/>
                <w:b w:val="0"/>
                <w:i w:val="0"/>
              </w:rPr>
              <m:t>10</m:t>
            </m:r>
            <m:ctrlPr>
              <w:rPr>
                <w:rFonts w:ascii="Cambria Math" w:hAnsi="Cambria Math"/>
              </w:rPr>
            </m:ctrlPr>
          </m:e>
          <m:sup>
            <m:r>
              <m:rPr>
                <m:nor/>
                <m:sty m:val="p"/>
              </m:rPr>
              <w:rPr>
                <w:rFonts w:ascii="Times New Roman" w:hAnsi="Times New Roman"/>
                <w:b w:val="0"/>
                <w:i w:val="0"/>
              </w:rPr>
              <m:t>-4</m:t>
            </m:r>
            <m:ctrlPr>
              <w:rPr>
                <w:rFonts w:ascii="Cambria Math" w:hAnsi="Cambria Math"/>
              </w:rPr>
            </m:ctrlPr>
          </m:sup>
        </m:sSup>
        <m:sSup>
          <m:sSupPr>
            <m:ctrlPr>
              <w:rPr>
                <w:rFonts w:ascii="Cambria Math" w:hAnsi="Cambria Math"/>
              </w:rPr>
            </m:ctrlPr>
          </m:sSupPr>
          <m:e>
            <m:r>
              <m:rPr>
                <m:nor/>
                <m:sty m:val="p"/>
              </m:rPr>
              <w:rPr>
                <w:rFonts w:ascii="Times New Roman" w:hAnsi="Times New Roman"/>
                <w:b w:val="0"/>
                <w:i w:val="0"/>
              </w:rPr>
              <m:t>℃</m:t>
            </m:r>
            <m:ctrlPr>
              <w:rPr>
                <w:rFonts w:ascii="Cambria Math" w:hAnsi="Cambria Math"/>
              </w:rPr>
            </m:ctrlPr>
          </m:e>
          <m:sup>
            <m:r>
              <m:rPr>
                <m:nor/>
                <m:sty m:val="p"/>
              </m:rPr>
              <w:rPr>
                <w:rFonts w:ascii="Times New Roman" w:hAnsi="Times New Roman"/>
                <w:b w:val="0"/>
                <w:i w:val="0"/>
              </w:rPr>
              <m:t>-1</m:t>
            </m:r>
            <m:ctrlPr>
              <w:rPr>
                <w:rFonts w:ascii="Cambria Math" w:hAnsi="Cambria Math"/>
              </w:rPr>
            </m:ctrlPr>
          </m:sup>
        </m:sSup>
      </m:oMath>
      <w:r>
        <w:rPr>
          <w:rFonts w:ascii="Times New Roman" w:hAnsi="Times New Roman"/>
        </w:rPr>
        <w:t>，产生的体积变化</w:t>
      </w:r>
      <m:oMath>
        <m:r>
          <m:rPr>
            <m:nor/>
            <m:sty m:val="p"/>
          </m:rPr>
          <w:rPr>
            <w:rFonts w:ascii="Times New Roman" w:hAnsi="Times New Roman"/>
            <w:b w:val="0"/>
            <w:i w:val="0"/>
          </w:rPr>
          <m:t>±10 ml×2℃×2.1×</m:t>
        </m:r>
        <m:sSup>
          <m:sSupPr>
            <m:ctrlPr>
              <w:rPr>
                <w:rFonts w:ascii="Cambria Math" w:hAnsi="Cambria Math"/>
              </w:rPr>
            </m:ctrlPr>
          </m:sSupPr>
          <m:e>
            <m:r>
              <m:rPr>
                <m:nor/>
                <m:sty m:val="p"/>
              </m:rPr>
              <w:rPr>
                <w:rFonts w:ascii="Times New Roman" w:hAnsi="Times New Roman"/>
                <w:b w:val="0"/>
                <w:i w:val="0"/>
              </w:rPr>
              <m:t>10</m:t>
            </m:r>
            <m:ctrlPr>
              <w:rPr>
                <w:rFonts w:ascii="Cambria Math" w:hAnsi="Cambria Math"/>
              </w:rPr>
            </m:ctrlPr>
          </m:e>
          <m:sup>
            <m:r>
              <m:rPr>
                <m:nor/>
                <m:sty m:val="p"/>
              </m:rPr>
              <w:rPr>
                <w:rFonts w:ascii="Times New Roman" w:hAnsi="Times New Roman"/>
                <w:b w:val="0"/>
                <w:i w:val="0"/>
              </w:rPr>
              <m:t>-4</m:t>
            </m:r>
            <m:ctrlPr>
              <w:rPr>
                <w:rFonts w:ascii="Cambria Math" w:hAnsi="Cambria Math"/>
              </w:rPr>
            </m:ctrlPr>
          </m:sup>
        </m:sSup>
        <m:sSup>
          <m:sSupPr>
            <m:ctrlPr>
              <w:rPr>
                <w:rFonts w:ascii="Cambria Math" w:hAnsi="Cambria Math"/>
              </w:rPr>
            </m:ctrlPr>
          </m:sSupPr>
          <m:e>
            <m:r>
              <m:rPr>
                <m:nor/>
                <m:sty m:val="p"/>
              </m:rPr>
              <w:rPr>
                <w:rFonts w:ascii="Times New Roman" w:hAnsi="Times New Roman"/>
                <w:b w:val="0"/>
                <w:i w:val="0"/>
              </w:rPr>
              <m:t>℃</m:t>
            </m:r>
            <m:ctrlPr>
              <w:rPr>
                <w:rFonts w:ascii="Cambria Math" w:hAnsi="Cambria Math"/>
              </w:rPr>
            </m:ctrlPr>
          </m:e>
          <m:sup>
            <m:r>
              <m:rPr>
                <m:nor/>
                <m:sty m:val="p"/>
              </m:rPr>
              <w:rPr>
                <w:rFonts w:ascii="Times New Roman" w:hAnsi="Times New Roman"/>
                <w:b w:val="0"/>
                <w:i w:val="0"/>
              </w:rPr>
              <m:t>-1</m:t>
            </m:r>
            <m:ctrlPr>
              <w:rPr>
                <w:rFonts w:ascii="Cambria Math" w:hAnsi="Cambria Math"/>
              </w:rPr>
            </m:ctrlPr>
          </m:sup>
        </m:sSup>
        <m:r>
          <m:rPr>
            <m:nor/>
            <m:sty m:val="p"/>
          </m:rPr>
          <w:rPr>
            <w:rFonts w:ascii="Times New Roman" w:hAnsi="Times New Roman"/>
            <w:b w:val="0"/>
            <w:i w:val="0"/>
          </w:rPr>
          <m:t>=0.0042 mL</m:t>
        </m:r>
      </m:oMath>
      <w:r>
        <w:rPr>
          <w:rFonts w:ascii="Times New Roman" w:hAnsi="Times New Roman"/>
        </w:rPr>
        <w:t>，温度变化按照均匀分布转化为标准偏差</w:t>
      </w:r>
      <m:oMath>
        <m:r>
          <m:rPr>
            <m:nor/>
            <m:sty m:val="p"/>
          </m:rPr>
          <w:rPr>
            <w:rFonts w:ascii="Times New Roman" w:hAnsi="Times New Roman"/>
            <w:b w:val="0"/>
            <w:i w:val="0"/>
          </w:rPr>
          <m:t>0.0042 mL/</m:t>
        </m:r>
        <m:rad>
          <m:radPr>
            <m:degHide m:val="1"/>
            <m:ctrlPr>
              <w:rPr>
                <w:rFonts w:ascii="Cambria Math" w:hAnsi="Cambria Math"/>
              </w:rPr>
            </m:ctrlPr>
          </m:radPr>
          <m:deg>
            <m:ctrlPr>
              <w:rPr>
                <w:rFonts w:ascii="Cambria Math" w:hAnsi="Cambria Math"/>
              </w:rPr>
            </m:ctrlPr>
          </m:deg>
          <m:e>
            <m:r>
              <m:rPr>
                <m:nor/>
                <m:sty m:val="p"/>
              </m:rPr>
              <w:rPr>
                <w:rFonts w:ascii="Times New Roman" w:hAnsi="Times New Roman"/>
                <w:b w:val="0"/>
                <w:i w:val="0"/>
              </w:rPr>
              <m:t>3</m:t>
            </m:r>
            <m:ctrlPr>
              <w:rPr>
                <w:rFonts w:ascii="Cambria Math" w:hAnsi="Cambria Math"/>
              </w:rPr>
            </m:ctrlPr>
          </m:e>
        </m:rad>
        <m:r>
          <m:rPr>
            <m:nor/>
            <m:sty m:val="p"/>
          </m:rPr>
          <w:rPr>
            <w:rFonts w:ascii="Times New Roman" w:hAnsi="Times New Roman"/>
            <w:b w:val="0"/>
            <w:i w:val="0"/>
          </w:rPr>
          <m:t>=0.00242 mL</m:t>
        </m:r>
      </m:oMath>
      <w:r>
        <w:rPr>
          <w:rFonts w:ascii="Times New Roman" w:hAnsi="Times New Roman"/>
        </w:rPr>
        <w:t>。</w:t>
      </w:r>
    </w:p>
    <w:p w14:paraId="6A844AC0">
      <w:pPr>
        <w:widowControl/>
        <w:kinsoku w:val="0"/>
        <w:autoSpaceDE w:val="0"/>
        <w:autoSpaceDN w:val="0"/>
        <w:snapToGrid w:val="0"/>
        <w:spacing w:line="360" w:lineRule="auto"/>
        <w:ind w:firstLine="420"/>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容量瓶10mL</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r>
                    <m:rPr>
                      <m:nor/>
                      <m:sty m:val="p"/>
                    </m:rPr>
                    <w:rPr>
                      <w:rFonts w:ascii="Times New Roman" w:hAnsi="Times New Roman"/>
                      <w:b w:val="0"/>
                      <w:i w:val="0"/>
                    </w:rPr>
                    <m:t>0.00817</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0.003</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0.00242</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 xml:space="preserve"> mL=0.00903 mL</m:t>
          </m:r>
        </m:oMath>
      </m:oMathPara>
    </w:p>
    <w:p w14:paraId="6A077CFA">
      <w:pPr>
        <w:widowControl/>
        <w:kinsoku w:val="0"/>
        <w:autoSpaceDE w:val="0"/>
        <w:autoSpaceDN w:val="0"/>
        <w:snapToGrid w:val="0"/>
        <w:spacing w:line="360" w:lineRule="auto"/>
        <w:ind w:firstLine="420"/>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容量瓶10mL，rel</m:t>
              </m:r>
              <m:ctrlPr>
                <w:rPr>
                  <w:rFonts w:ascii="Cambria Math" w:hAnsi="Cambria Math"/>
                </w:rPr>
              </m:ctrlPr>
            </m:sub>
          </m:sSub>
          <m:r>
            <m:rPr>
              <m:nor/>
              <m:sty m:val="p"/>
            </m:rPr>
            <w:rPr>
              <w:rFonts w:ascii="Times New Roman" w:hAnsi="Times New Roman"/>
              <w:b w:val="0"/>
              <w:i w:val="0"/>
            </w:rPr>
            <m:t>=</m:t>
          </m:r>
          <m:f>
            <m:fPr>
              <m:type m:val="lin"/>
              <m:ctrlPr>
                <w:rPr>
                  <w:rFonts w:ascii="Cambria Math" w:hAnsi="Cambria Math"/>
                </w:rPr>
              </m:ctrlPr>
            </m:fPr>
            <m:num>
              <m:r>
                <m:rPr>
                  <m:nor/>
                  <m:sty m:val="p"/>
                </m:rPr>
                <w:rPr>
                  <w:rFonts w:ascii="Times New Roman" w:hAnsi="Times New Roman"/>
                  <w:b w:val="0"/>
                  <w:i w:val="0"/>
                </w:rPr>
                <m:t>0.00903</m:t>
              </m:r>
              <m:ctrlPr>
                <w:rPr>
                  <w:rFonts w:ascii="Cambria Math" w:hAnsi="Cambria Math"/>
                </w:rPr>
              </m:ctrlPr>
            </m:num>
            <m:den>
              <m:r>
                <m:rPr>
                  <m:nor/>
                  <m:sty m:val="p"/>
                </m:rPr>
                <w:rPr>
                  <w:rFonts w:ascii="Times New Roman" w:hAnsi="Times New Roman"/>
                  <w:b w:val="0"/>
                  <w:i w:val="0"/>
                </w:rPr>
                <m:t>10</m:t>
              </m:r>
              <m:ctrlPr>
                <w:rPr>
                  <w:rFonts w:ascii="Cambria Math" w:hAnsi="Cambria Math"/>
                </w:rPr>
              </m:ctrlPr>
            </m:den>
          </m:f>
          <m:r>
            <m:rPr>
              <m:nor/>
              <m:sty m:val="p"/>
            </m:rPr>
            <w:rPr>
              <w:rFonts w:ascii="Times New Roman" w:hAnsi="Times New Roman"/>
              <w:b w:val="0"/>
              <w:i w:val="0"/>
            </w:rPr>
            <m:t>=0.0903%</m:t>
          </m:r>
        </m:oMath>
      </m:oMathPara>
    </w:p>
    <w:p w14:paraId="0ACC1684">
      <w:pPr>
        <w:widowControl/>
        <w:kinsoku w:val="0"/>
        <w:autoSpaceDE w:val="0"/>
        <w:autoSpaceDN w:val="0"/>
        <w:snapToGrid w:val="0"/>
        <w:spacing w:line="360" w:lineRule="auto"/>
        <w:ind w:firstLine="420"/>
        <w:textAlignment w:val="baseline"/>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2,rel</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r>
                    <m:rPr>
                      <m:nor/>
                      <m:sty m:val="p"/>
                    </m:rPr>
                    <w:rPr>
                      <w:rFonts w:ascii="Times New Roman" w:hAnsi="Times New Roman"/>
                      <w:b w:val="0"/>
                      <w:i w:val="0"/>
                    </w:rPr>
                    <m:t>0.21%</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0.3245%</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0.0903%</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 xml:space="preserve"> =0.3970%</m:t>
          </m:r>
        </m:oMath>
      </m:oMathPara>
    </w:p>
    <w:p w14:paraId="68C4F5BE">
      <w:pPr>
        <w:spacing w:line="360" w:lineRule="auto"/>
        <w:ind w:firstLine="420"/>
        <w:rPr>
          <w:rFonts w:ascii="Times New Roman" w:hAnsi="Times New Roman"/>
        </w:rPr>
      </w:pPr>
      <w:r>
        <w:rPr>
          <w:rFonts w:ascii="Times New Roman" w:hAnsi="Times New Roman"/>
        </w:rPr>
        <w:t>试样稀释体积引入的不确定度</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3</m:t>
            </m:r>
            <m:ctrlPr>
              <w:rPr>
                <w:rFonts w:ascii="Cambria Math" w:hAnsi="Cambria Math"/>
              </w:rPr>
            </m:ctrlPr>
          </m:sub>
        </m:sSub>
      </m:oMath>
    </w:p>
    <w:p w14:paraId="7FE68057">
      <w:pPr>
        <w:spacing w:line="360" w:lineRule="auto"/>
        <w:ind w:firstLine="420"/>
        <w:rPr>
          <w:rFonts w:ascii="Times New Roman" w:hAnsi="Times New Roman"/>
        </w:rPr>
      </w:pPr>
      <w:r>
        <w:rPr>
          <w:rFonts w:ascii="Times New Roman" w:hAnsi="Times New Roman"/>
        </w:rPr>
        <w:t>试样稀释体积5 mL吸量管不确定度来自三个方面：</w:t>
      </w:r>
    </w:p>
    <w:p w14:paraId="64019E18">
      <w:pPr>
        <w:spacing w:line="360" w:lineRule="auto"/>
        <w:ind w:firstLine="420" w:firstLineChars="200"/>
        <w:rPr>
          <w:rFonts w:ascii="Times New Roman" w:hAnsi="Times New Roman"/>
        </w:rPr>
      </w:pPr>
      <w:r>
        <w:rPr>
          <w:rFonts w:ascii="Times New Roman" w:hAnsi="Times New Roman"/>
          <w:snapToGrid w:val="0"/>
          <w:color w:val="000000"/>
        </w:rPr>
        <w:t>（a）</w:t>
      </w:r>
      <w:r>
        <w:rPr>
          <w:rFonts w:ascii="Times New Roman" w:hAnsi="Times New Roman"/>
        </w:rPr>
        <w:t>校准不确定度：根据吸量管（5mL）检定证书，最大允差0.05 mL，假定为三角分布，则相对不确定度为：</w:t>
      </w:r>
    </w:p>
    <w:p w14:paraId="38CA005B">
      <w:pPr>
        <w:spacing w:line="360" w:lineRule="auto"/>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V1</m:t>
              </m:r>
              <m:ctrlPr>
                <w:rPr>
                  <w:rFonts w:ascii="Cambria Math" w:hAnsi="Cambria Math"/>
                </w:rPr>
              </m:ctrlPr>
            </m:sub>
          </m:sSub>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0.05</m:t>
              </m:r>
              <m:ctrlPr>
                <w:rPr>
                  <w:rFonts w:ascii="Cambria Math" w:hAnsi="Cambria Math"/>
                </w:rPr>
              </m:ctrlPr>
            </m:num>
            <m:den>
              <m:rad>
                <m:radPr>
                  <m:degHide m:val="1"/>
                  <m:ctrlPr>
                    <w:rPr>
                      <w:rFonts w:ascii="Cambria Math" w:hAnsi="Cambria Math"/>
                    </w:rPr>
                  </m:ctrlPr>
                </m:radPr>
                <m:deg>
                  <m:ctrlPr>
                    <w:rPr>
                      <w:rFonts w:ascii="Cambria Math" w:hAnsi="Cambria Math"/>
                    </w:rPr>
                  </m:ctrlPr>
                </m:deg>
                <m:e>
                  <m:r>
                    <m:rPr>
                      <m:nor/>
                      <m:sty m:val="p"/>
                    </m:rPr>
                    <w:rPr>
                      <w:rFonts w:ascii="Times New Roman" w:hAnsi="Times New Roman"/>
                      <w:b w:val="0"/>
                      <w:i w:val="0"/>
                    </w:rPr>
                    <m:t>6</m:t>
                  </m:r>
                  <m:ctrlPr>
                    <w:rPr>
                      <w:rFonts w:ascii="Cambria Math" w:hAnsi="Cambria Math"/>
                    </w:rPr>
                  </m:ctrlPr>
                </m:e>
              </m:rad>
              <m:r>
                <m:rPr>
                  <m:nor/>
                  <m:sty m:val="p"/>
                </m:rPr>
                <w:rPr>
                  <w:rFonts w:ascii="Times New Roman" w:hAnsi="Times New Roman"/>
                  <w:b w:val="0"/>
                  <w:i w:val="0"/>
                </w:rPr>
                <m:t>×5</m:t>
              </m:r>
              <m:ctrlPr>
                <w:rPr>
                  <w:rFonts w:ascii="Cambria Math" w:hAnsi="Cambria Math"/>
                  <w:i/>
                </w:rPr>
              </m:ctrlPr>
            </m:den>
          </m:f>
          <m:r>
            <m:rPr>
              <m:nor/>
              <m:sty m:val="p"/>
            </m:rPr>
            <w:rPr>
              <w:rFonts w:ascii="Times New Roman" w:hAnsi="Times New Roman"/>
              <w:b w:val="0"/>
              <w:i w:val="0"/>
            </w:rPr>
            <m:t>=0.4083%</m:t>
          </m:r>
        </m:oMath>
      </m:oMathPara>
    </w:p>
    <w:p w14:paraId="2B9D7103">
      <w:pPr>
        <w:spacing w:line="360" w:lineRule="auto"/>
        <w:ind w:firstLine="420"/>
        <w:rPr>
          <w:rFonts w:ascii="Times New Roman" w:hAnsi="Times New Roman"/>
          <w:vertAlign w:val="subscript"/>
        </w:rPr>
      </w:pPr>
      <w:r>
        <w:rPr>
          <w:rFonts w:ascii="Times New Roman" w:hAnsi="Times New Roman"/>
        </w:rPr>
        <w:t>（b）定容时由体积重复性产生的相对不确定度：通过多次移液定容</w:t>
      </w:r>
    </w:p>
    <w:p w14:paraId="5DC143EA">
      <w:pPr>
        <w:spacing w:line="360" w:lineRule="auto"/>
        <w:ind w:firstLine="420"/>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V2</m:t>
              </m:r>
              <m:ctrlPr>
                <w:rPr>
                  <w:rFonts w:ascii="Cambria Math" w:hAnsi="Cambria Math"/>
                </w:rPr>
              </m:ctrlPr>
            </m:sub>
          </m:sSub>
          <m:r>
            <m:rPr>
              <m:nor/>
              <m:sty m:val="p"/>
            </m:rPr>
            <w:rPr>
              <w:rFonts w:ascii="Times New Roman" w:hAnsi="Times New Roman"/>
              <w:b w:val="0"/>
              <w:i w:val="0"/>
            </w:rPr>
            <m:t>=0.4083%</m:t>
          </m:r>
        </m:oMath>
      </m:oMathPara>
    </w:p>
    <w:p w14:paraId="0DCE318D">
      <w:pPr>
        <w:spacing w:line="360" w:lineRule="auto"/>
        <w:ind w:firstLine="420" w:firstLineChars="200"/>
        <w:jc w:val="center"/>
        <w:rPr>
          <w:rFonts w:ascii="Times New Roman" w:hAnsi="Times New Roman"/>
        </w:rPr>
      </w:pPr>
      <w:r>
        <w:rPr>
          <w:rFonts w:ascii="Times New Roman" w:hAnsi="Times New Roman"/>
          <w:snapToGrid w:val="0"/>
          <w:color w:val="000000"/>
        </w:rPr>
        <w:t>（c）</w:t>
      </w:r>
      <w:r>
        <w:rPr>
          <w:rFonts w:ascii="Times New Roman" w:hAnsi="Times New Roman"/>
        </w:rPr>
        <w:t>温度变化引入的不确定度：可能的温度变化在±5℃范围内并近似矩形分布，水的膨胀系数为2.1×10</w:t>
      </w:r>
      <w:r>
        <w:rPr>
          <w:rFonts w:ascii="Times New Roman" w:hAnsi="Times New Roman"/>
          <w:vertAlign w:val="superscript"/>
        </w:rPr>
        <w:t>-4</w:t>
      </w:r>
      <w:r>
        <w:rPr>
          <w:rFonts w:ascii="Times New Roman" w:hAnsi="Times New Roman"/>
        </w:rPr>
        <w:t>℃</w:t>
      </w:r>
      <w:r>
        <w:rPr>
          <w:rFonts w:ascii="Times New Roman" w:hAnsi="Times New Roman"/>
          <w:vertAlign w:val="superscript"/>
        </w:rPr>
        <w:t>-1</w:t>
      </w:r>
      <w:r>
        <w:rPr>
          <w:rFonts w:ascii="Times New Roman" w:hAnsi="Times New Roman"/>
        </w:rPr>
        <w:t>，则标准不确定为：</w:t>
      </w:r>
    </w:p>
    <w:p w14:paraId="47DACC2F">
      <w:pPr>
        <w:spacing w:line="360" w:lineRule="auto"/>
        <w:ind w:left="420" w:leftChars="200"/>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V3</m:t>
              </m:r>
              <m:ctrlPr>
                <w:rPr>
                  <w:rFonts w:ascii="Cambria Math" w:hAnsi="Cambria Math"/>
                </w:rPr>
              </m:ctrlPr>
            </m:sub>
          </m:sSub>
          <m:r>
            <m:rPr>
              <m:nor/>
              <m:sty m:val="p"/>
            </m:rPr>
            <w:rPr>
              <w:rFonts w:ascii="Times New Roman" w:hAnsi="Times New Roman"/>
              <w:b w:val="0"/>
              <w:i w:val="0"/>
            </w:rPr>
            <m:t>=2.1×</m:t>
          </m:r>
          <m:sSup>
            <m:sSupPr>
              <m:ctrlPr>
                <w:rPr>
                  <w:rFonts w:ascii="Cambria Math" w:hAnsi="Cambria Math"/>
                </w:rPr>
              </m:ctrlPr>
            </m:sSupPr>
            <m:e>
              <m:r>
                <m:rPr>
                  <m:nor/>
                  <m:sty m:val="p"/>
                </m:rPr>
                <w:rPr>
                  <w:rFonts w:ascii="Times New Roman" w:hAnsi="Times New Roman"/>
                  <w:b w:val="0"/>
                  <w:i w:val="0"/>
                </w:rPr>
                <m:t>10</m:t>
              </m:r>
              <m:ctrlPr>
                <w:rPr>
                  <w:rFonts w:ascii="Cambria Math" w:hAnsi="Cambria Math"/>
                </w:rPr>
              </m:ctrlPr>
            </m:e>
            <m:sup>
              <m:r>
                <m:rPr>
                  <m:nor/>
                  <m:sty m:val="p"/>
                </m:rPr>
                <w:rPr>
                  <w:rFonts w:ascii="Times New Roman" w:hAnsi="Times New Roman"/>
                  <w:b w:val="0"/>
                  <w:i w:val="0"/>
                </w:rPr>
                <m:t>-4</m:t>
              </m:r>
              <m:ctrlPr>
                <w:rPr>
                  <w:rFonts w:ascii="Cambria Math" w:hAnsi="Cambria Math"/>
                </w:rPr>
              </m:ctrlPr>
            </m:sup>
          </m:sSup>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5</m:t>
              </m:r>
              <m:ctrlPr>
                <w:rPr>
                  <w:rFonts w:ascii="Cambria Math" w:hAnsi="Cambria Math"/>
                </w:rPr>
              </m:ctrlPr>
            </m:num>
            <m:den>
              <m:rad>
                <m:radPr>
                  <m:degHide m:val="1"/>
                  <m:ctrlPr>
                    <w:rPr>
                      <w:rFonts w:ascii="Cambria Math" w:hAnsi="Cambria Math"/>
                    </w:rPr>
                  </m:ctrlPr>
                </m:radPr>
                <m:deg>
                  <m:ctrlPr>
                    <w:rPr>
                      <w:rFonts w:ascii="Cambria Math" w:hAnsi="Cambria Math"/>
                    </w:rPr>
                  </m:ctrlPr>
                </m:deg>
                <m:e>
                  <m:r>
                    <m:rPr>
                      <m:nor/>
                      <m:sty m:val="p"/>
                    </m:rPr>
                    <w:rPr>
                      <w:rFonts w:ascii="Times New Roman" w:hAnsi="Times New Roman"/>
                      <w:b w:val="0"/>
                      <w:i w:val="0"/>
                    </w:rPr>
                    <m:t>3</m:t>
                  </m:r>
                  <m:ctrlPr>
                    <w:rPr>
                      <w:rFonts w:ascii="Cambria Math" w:hAnsi="Cambria Math"/>
                    </w:rPr>
                  </m:ctrlPr>
                </m:e>
              </m:rad>
              <m:ctrlPr>
                <w:rPr>
                  <w:rFonts w:ascii="Cambria Math" w:hAnsi="Cambria Math"/>
                  <w:i/>
                </w:rPr>
              </m:ctrlPr>
            </m:den>
          </m:f>
          <m:r>
            <m:rPr>
              <m:nor/>
              <m:sty m:val="p"/>
            </m:rPr>
            <w:rPr>
              <w:rFonts w:ascii="Times New Roman" w:hAnsi="Times New Roman"/>
              <w:b w:val="0"/>
              <w:i w:val="0"/>
            </w:rPr>
            <m:t>=0.06063%</m:t>
          </m:r>
        </m:oMath>
      </m:oMathPara>
    </w:p>
    <w:p w14:paraId="36FDB8A3">
      <w:pPr>
        <w:spacing w:line="360" w:lineRule="auto"/>
        <w:ind w:firstLine="420"/>
        <w:jc w:val="center"/>
        <w:rPr>
          <w:rFonts w:ascii="Times New Roman" w:hAnsi="Times New Roman"/>
          <w:position w:val="-14"/>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3,rel</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r>
                    <m:rPr>
                      <m:nor/>
                      <m:sty m:val="p"/>
                    </m:rPr>
                    <w:rPr>
                      <w:rFonts w:ascii="Times New Roman" w:hAnsi="Times New Roman"/>
                      <w:b w:val="0"/>
                      <w:i w:val="0"/>
                    </w:rPr>
                    <m:t>0.4083%</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0.4083%</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0.06063%</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=0.5751%</m:t>
          </m:r>
        </m:oMath>
      </m:oMathPara>
    </w:p>
    <w:p w14:paraId="5D6D1D2D">
      <w:pPr>
        <w:spacing w:line="360" w:lineRule="auto"/>
        <w:ind w:firstLine="420"/>
        <w:rPr>
          <w:rFonts w:ascii="Times New Roman" w:hAnsi="Times New Roman"/>
          <w:bCs/>
        </w:rPr>
      </w:pPr>
      <w:r>
        <w:rPr>
          <w:rFonts w:ascii="Times New Roman" w:hAnsi="Times New Roman"/>
          <w:bCs/>
        </w:rPr>
        <w:t>标准曲线拟合所带来的不确定度来源</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4</m:t>
            </m:r>
            <m:ctrlPr>
              <w:rPr>
                <w:rFonts w:ascii="Cambria Math" w:hAnsi="Cambria Math"/>
              </w:rPr>
            </m:ctrlPr>
          </m:sub>
        </m:sSub>
      </m:oMath>
    </w:p>
    <w:p w14:paraId="0A9643FB">
      <w:pPr>
        <w:spacing w:line="360" w:lineRule="auto"/>
        <w:ind w:firstLine="420"/>
        <w:rPr>
          <w:rFonts w:ascii="Times New Roman" w:hAnsi="Times New Roman"/>
          <w:bCs/>
        </w:rPr>
      </w:pPr>
      <w:r>
        <w:rPr>
          <w:rFonts w:ascii="Times New Roman" w:hAnsi="Times New Roman"/>
          <w:bCs/>
        </w:rPr>
        <w:t>采用5个浓度水平的DHA标准溶液，用带有FID检测器的气相仪器测量两次，得到相应的峰面积Y，用最小二乘法进行拟合，得到直线方程和相关系数。直线方程：Y=a+bC。</w:t>
      </w:r>
    </w:p>
    <w:p w14:paraId="45B21D69">
      <w:pPr>
        <w:spacing w:line="360" w:lineRule="auto"/>
        <w:ind w:firstLine="420"/>
        <w:rPr>
          <w:rFonts w:ascii="Times New Roman" w:hAnsi="Times New Roman"/>
          <w:bCs/>
        </w:rPr>
      </w:pPr>
      <w:r>
        <w:rPr>
          <w:rFonts w:ascii="Times New Roman" w:hAnsi="Times New Roman"/>
          <w:bCs/>
        </w:rPr>
        <w:t>式中：a为直线截距；</w:t>
      </w:r>
    </w:p>
    <w:p w14:paraId="177AA79F">
      <w:pPr>
        <w:spacing w:line="360" w:lineRule="auto"/>
        <w:ind w:firstLine="1050" w:firstLineChars="500"/>
        <w:rPr>
          <w:rFonts w:ascii="Times New Roman" w:hAnsi="Times New Roman"/>
          <w:bCs/>
        </w:rPr>
      </w:pPr>
      <w:r>
        <w:rPr>
          <w:rFonts w:ascii="Times New Roman" w:hAnsi="Times New Roman"/>
          <w:bCs/>
        </w:rPr>
        <w:t>b为直线斜率。</w:t>
      </w:r>
    </w:p>
    <w:p w14:paraId="50B9C544">
      <w:pPr>
        <w:spacing w:line="360" w:lineRule="auto"/>
        <w:ind w:firstLine="420"/>
        <w:rPr>
          <w:rFonts w:ascii="Times New Roman" w:hAnsi="Times New Roman"/>
          <w:bCs/>
        </w:rPr>
      </w:pPr>
      <w:r>
        <w:rPr>
          <w:rFonts w:ascii="Times New Roman" w:hAnsi="Times New Roman"/>
          <w:bCs/>
        </w:rPr>
        <w:t>用最小乘法进行拟合，DHA标准溶液质量浓度-峰面积结果见下表5：</w:t>
      </w:r>
    </w:p>
    <w:p w14:paraId="1EF51A55">
      <w:pPr>
        <w:wordWrap w:val="0"/>
        <w:spacing w:line="360" w:lineRule="auto"/>
        <w:jc w:val="center"/>
        <w:rPr>
          <w:rFonts w:ascii="Times New Roman" w:hAnsi="Times New Roman" w:eastAsia="黑体"/>
          <w:bCs/>
        </w:rPr>
      </w:pPr>
      <w:r>
        <w:rPr>
          <w:rFonts w:ascii="Times New Roman" w:hAnsi="Times New Roman" w:eastAsia="黑体"/>
          <w:bCs/>
        </w:rPr>
        <w:t>表</w:t>
      </w:r>
      <w:r>
        <w:rPr>
          <w:rFonts w:hint="eastAsia" w:ascii="Times New Roman" w:hAnsi="Times New Roman" w:eastAsia="黑体"/>
          <w:bCs/>
        </w:rPr>
        <w:t>D.5</w:t>
      </w:r>
      <w:r>
        <w:rPr>
          <w:rFonts w:ascii="Times New Roman" w:hAnsi="Times New Roman" w:eastAsia="黑体"/>
          <w:bCs/>
        </w:rPr>
        <w:t xml:space="preserve"> DHA标准溶液质量浓度-峰面积结果</w:t>
      </w:r>
    </w:p>
    <w:tbl>
      <w:tblPr>
        <w:tblStyle w:val="28"/>
        <w:tblW w:w="933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111"/>
        <w:gridCol w:w="3111"/>
        <w:gridCol w:w="3112"/>
      </w:tblGrid>
      <w:tr w14:paraId="215D9E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jc w:val="center"/>
        </w:trPr>
        <w:tc>
          <w:tcPr>
            <w:tcW w:w="3111" w:type="dxa"/>
            <w:tcBorders>
              <w:tl2br w:val="nil"/>
              <w:tr2bl w:val="nil"/>
            </w:tcBorders>
            <w:vAlign w:val="center"/>
          </w:tcPr>
          <w:p w14:paraId="5D5A4F17">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标液浓度C（μg/mL）</w:t>
            </w:r>
          </w:p>
        </w:tc>
        <w:tc>
          <w:tcPr>
            <w:tcW w:w="3111" w:type="dxa"/>
            <w:tcBorders>
              <w:tl2br w:val="nil"/>
              <w:tr2bl w:val="nil"/>
            </w:tcBorders>
            <w:vAlign w:val="center"/>
          </w:tcPr>
          <w:p w14:paraId="632ABCEF">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峰面积Y</w:t>
            </w:r>
            <w:r>
              <w:rPr>
                <w:rFonts w:ascii="Times New Roman" w:hAnsi="Times New Roman"/>
                <w:bCs/>
                <w:vertAlign w:val="subscript"/>
              </w:rPr>
              <w:t>1</w:t>
            </w:r>
          </w:p>
        </w:tc>
        <w:tc>
          <w:tcPr>
            <w:tcW w:w="3112" w:type="dxa"/>
            <w:tcBorders>
              <w:tl2br w:val="nil"/>
              <w:tr2bl w:val="nil"/>
            </w:tcBorders>
            <w:vAlign w:val="center"/>
          </w:tcPr>
          <w:p w14:paraId="35EB8A5C">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峰面积Y</w:t>
            </w:r>
            <w:r>
              <w:rPr>
                <w:rFonts w:ascii="Times New Roman" w:hAnsi="Times New Roman"/>
                <w:bCs/>
                <w:vertAlign w:val="subscript"/>
              </w:rPr>
              <w:t>2</w:t>
            </w:r>
          </w:p>
        </w:tc>
      </w:tr>
      <w:tr w14:paraId="7A5811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3111" w:type="dxa"/>
            <w:tcBorders>
              <w:tl2br w:val="nil"/>
              <w:tr2bl w:val="nil"/>
            </w:tcBorders>
            <w:vAlign w:val="center"/>
          </w:tcPr>
          <w:p w14:paraId="47FBE482">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0.02</w:t>
            </w:r>
          </w:p>
        </w:tc>
        <w:tc>
          <w:tcPr>
            <w:tcW w:w="3111" w:type="dxa"/>
            <w:tcBorders>
              <w:tl2br w:val="nil"/>
              <w:tr2bl w:val="nil"/>
            </w:tcBorders>
            <w:vAlign w:val="center"/>
          </w:tcPr>
          <w:p w14:paraId="6DBF94F7">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5814</w:t>
            </w:r>
          </w:p>
        </w:tc>
        <w:tc>
          <w:tcPr>
            <w:tcW w:w="3112" w:type="dxa"/>
            <w:tcBorders>
              <w:tl2br w:val="nil"/>
              <w:tr2bl w:val="nil"/>
            </w:tcBorders>
            <w:vAlign w:val="center"/>
          </w:tcPr>
          <w:p w14:paraId="2AB3505D">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5834</w:t>
            </w:r>
          </w:p>
        </w:tc>
      </w:tr>
      <w:tr w14:paraId="2939C6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3111" w:type="dxa"/>
            <w:tcBorders>
              <w:tl2br w:val="nil"/>
              <w:tr2bl w:val="nil"/>
            </w:tcBorders>
            <w:vAlign w:val="center"/>
          </w:tcPr>
          <w:p w14:paraId="242EC6A1">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0.04</w:t>
            </w:r>
          </w:p>
        </w:tc>
        <w:tc>
          <w:tcPr>
            <w:tcW w:w="3111" w:type="dxa"/>
            <w:tcBorders>
              <w:tl2br w:val="nil"/>
              <w:tr2bl w:val="nil"/>
            </w:tcBorders>
            <w:vAlign w:val="center"/>
          </w:tcPr>
          <w:p w14:paraId="2BF267C1">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11650</w:t>
            </w:r>
          </w:p>
        </w:tc>
        <w:tc>
          <w:tcPr>
            <w:tcW w:w="3112" w:type="dxa"/>
            <w:tcBorders>
              <w:tl2br w:val="nil"/>
              <w:tr2bl w:val="nil"/>
            </w:tcBorders>
            <w:vAlign w:val="center"/>
          </w:tcPr>
          <w:p w14:paraId="6FFF33AC">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11660</w:t>
            </w:r>
          </w:p>
        </w:tc>
      </w:tr>
      <w:tr w14:paraId="3E3BB8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3111" w:type="dxa"/>
            <w:tcBorders>
              <w:tl2br w:val="nil"/>
              <w:tr2bl w:val="nil"/>
            </w:tcBorders>
            <w:vAlign w:val="center"/>
          </w:tcPr>
          <w:p w14:paraId="008CCA02">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0.06</w:t>
            </w:r>
          </w:p>
        </w:tc>
        <w:tc>
          <w:tcPr>
            <w:tcW w:w="3111" w:type="dxa"/>
            <w:tcBorders>
              <w:tl2br w:val="nil"/>
              <w:tr2bl w:val="nil"/>
            </w:tcBorders>
            <w:vAlign w:val="center"/>
          </w:tcPr>
          <w:p w14:paraId="3EC0FC81">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17666</w:t>
            </w:r>
          </w:p>
        </w:tc>
        <w:tc>
          <w:tcPr>
            <w:tcW w:w="3112" w:type="dxa"/>
            <w:tcBorders>
              <w:tl2br w:val="nil"/>
              <w:tr2bl w:val="nil"/>
            </w:tcBorders>
            <w:vAlign w:val="center"/>
          </w:tcPr>
          <w:p w14:paraId="1F6DDF66">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17666</w:t>
            </w:r>
          </w:p>
        </w:tc>
      </w:tr>
      <w:tr w14:paraId="42BE17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3111" w:type="dxa"/>
            <w:tcBorders>
              <w:tl2br w:val="nil"/>
              <w:tr2bl w:val="nil"/>
            </w:tcBorders>
            <w:vAlign w:val="center"/>
          </w:tcPr>
          <w:p w14:paraId="019E3272">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0.08</w:t>
            </w:r>
          </w:p>
        </w:tc>
        <w:tc>
          <w:tcPr>
            <w:tcW w:w="3111" w:type="dxa"/>
            <w:tcBorders>
              <w:tl2br w:val="nil"/>
              <w:tr2bl w:val="nil"/>
            </w:tcBorders>
            <w:vAlign w:val="center"/>
          </w:tcPr>
          <w:p w14:paraId="6D947F03">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23120</w:t>
            </w:r>
          </w:p>
        </w:tc>
        <w:tc>
          <w:tcPr>
            <w:tcW w:w="3112" w:type="dxa"/>
            <w:tcBorders>
              <w:tl2br w:val="nil"/>
              <w:tr2bl w:val="nil"/>
            </w:tcBorders>
            <w:vAlign w:val="center"/>
          </w:tcPr>
          <w:p w14:paraId="2E56D9F8">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23130</w:t>
            </w:r>
          </w:p>
        </w:tc>
      </w:tr>
      <w:tr w14:paraId="30F4C0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3111" w:type="dxa"/>
            <w:tcBorders>
              <w:tl2br w:val="nil"/>
              <w:tr2bl w:val="nil"/>
            </w:tcBorders>
            <w:vAlign w:val="center"/>
          </w:tcPr>
          <w:p w14:paraId="0190A1F3">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0.10</w:t>
            </w:r>
          </w:p>
        </w:tc>
        <w:tc>
          <w:tcPr>
            <w:tcW w:w="3111" w:type="dxa"/>
            <w:tcBorders>
              <w:tl2br w:val="nil"/>
              <w:tr2bl w:val="nil"/>
            </w:tcBorders>
            <w:vAlign w:val="center"/>
          </w:tcPr>
          <w:p w14:paraId="4A81DA8E">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30253</w:t>
            </w:r>
          </w:p>
        </w:tc>
        <w:tc>
          <w:tcPr>
            <w:tcW w:w="3112" w:type="dxa"/>
            <w:tcBorders>
              <w:tl2br w:val="nil"/>
              <w:tr2bl w:val="nil"/>
            </w:tcBorders>
            <w:vAlign w:val="center"/>
          </w:tcPr>
          <w:p w14:paraId="0E6F627E">
            <w:pPr>
              <w:widowControl/>
              <w:kinsoku w:val="0"/>
              <w:autoSpaceDE w:val="0"/>
              <w:autoSpaceDN w:val="0"/>
              <w:snapToGrid w:val="0"/>
              <w:spacing w:before="78" w:beforeLines="25" w:line="360" w:lineRule="auto"/>
              <w:jc w:val="center"/>
              <w:textAlignment w:val="baseline"/>
              <w:rPr>
                <w:rFonts w:ascii="Times New Roman" w:hAnsi="Times New Roman"/>
                <w:bCs/>
              </w:rPr>
            </w:pPr>
            <w:r>
              <w:rPr>
                <w:rFonts w:ascii="Times New Roman" w:hAnsi="Times New Roman"/>
                <w:bCs/>
              </w:rPr>
              <w:t>30256</w:t>
            </w:r>
          </w:p>
        </w:tc>
      </w:tr>
      <w:tr w14:paraId="5FEF99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5" w:hRule="atLeast"/>
          <w:jc w:val="center"/>
        </w:trPr>
        <w:tc>
          <w:tcPr>
            <w:tcW w:w="9334" w:type="dxa"/>
            <w:gridSpan w:val="3"/>
            <w:tcBorders>
              <w:tl2br w:val="nil"/>
              <w:tr2bl w:val="nil"/>
            </w:tcBorders>
            <w:vAlign w:val="center"/>
          </w:tcPr>
          <w:p w14:paraId="4B68BE85">
            <w:pPr>
              <w:widowControl/>
              <w:kinsoku w:val="0"/>
              <w:autoSpaceDE w:val="0"/>
              <w:autoSpaceDN w:val="0"/>
              <w:snapToGrid w:val="0"/>
              <w:spacing w:before="78" w:beforeLines="25" w:line="360" w:lineRule="auto"/>
              <w:jc w:val="center"/>
              <w:textAlignment w:val="baseline"/>
              <w:rPr>
                <w:rFonts w:ascii="Times New Roman" w:hAnsi="Times New Roman"/>
                <w:bCs/>
              </w:rPr>
            </w:pPr>
            <m:oMath>
              <m:r>
                <m:rPr>
                  <m:sty m:val="p"/>
                </m:rPr>
                <w:rPr>
                  <w:rFonts w:ascii="Cambria Math" w:hAnsi="Cambria Math"/>
                </w:rPr>
                <m:t>Y=301612.4C−393.0716</m:t>
              </m:r>
            </m:oMath>
            <w:r>
              <w:rPr>
                <w:rFonts w:ascii="Times New Roman" w:hAnsi="Times New Roman"/>
                <w:bCs/>
              </w:rPr>
              <w:t>；r</w:t>
            </w:r>
            <w:r>
              <w:rPr>
                <w:rFonts w:ascii="Times New Roman" w:hAnsi="Times New Roman"/>
                <w:bCs/>
                <w:vertAlign w:val="superscript"/>
              </w:rPr>
              <w:t>2</w:t>
            </w:r>
            <w:r>
              <w:rPr>
                <w:rFonts w:ascii="Times New Roman" w:hAnsi="Times New Roman"/>
                <w:bCs/>
              </w:rPr>
              <w:t>=0.9982</w:t>
            </w:r>
          </w:p>
        </w:tc>
      </w:tr>
    </w:tbl>
    <w:p w14:paraId="670306EC">
      <w:pPr>
        <w:spacing w:line="360" w:lineRule="auto"/>
        <w:ind w:firstLine="420"/>
        <w:rPr>
          <w:rFonts w:ascii="Times New Roman" w:hAnsi="Times New Roman"/>
          <w:bCs/>
        </w:rPr>
      </w:pPr>
      <w:r>
        <w:rPr>
          <w:rFonts w:ascii="Times New Roman" w:hAnsi="Times New Roman"/>
          <w:bCs/>
        </w:rPr>
        <w:t>则</w:t>
      </w:r>
    </w:p>
    <w:p w14:paraId="59F398FF">
      <w:pPr>
        <w:spacing w:line="360" w:lineRule="auto"/>
        <w:ind w:firstLine="420"/>
        <w:jc w:val="center"/>
        <w:rPr>
          <w:rFonts w:ascii="Times New Roman" w:hAnsi="Times New Roman"/>
          <w:bCs/>
        </w:rPr>
      </w:pPr>
      <m:oMathPara>
        <m:oMath>
          <m:acc>
            <m:accPr>
              <m:chr m:val="̅"/>
              <m:ctrlPr>
                <w:rPr>
                  <w:rFonts w:ascii="Cambria Math" w:hAnsi="Cambria Math"/>
                  <w:bCs/>
                </w:rPr>
              </m:ctrlPr>
            </m:accPr>
            <m:e>
              <m:sSub>
                <m:sSubPr>
                  <m:ctrlPr>
                    <w:rPr>
                      <w:rFonts w:ascii="Cambria Math" w:hAnsi="Cambria Math"/>
                      <w:bCs/>
                      <w:i/>
                    </w:rPr>
                  </m:ctrlPr>
                </m:sSubPr>
                <m:e>
                  <m:r>
                    <m:rPr>
                      <m:nor/>
                    </m:rPr>
                    <w:rPr>
                      <w:rFonts w:ascii="Times New Roman" w:hAnsi="Times New Roman"/>
                      <w:i/>
                    </w:rPr>
                    <m:t>C</m:t>
                  </m:r>
                  <m:ctrlPr>
                    <w:rPr>
                      <w:rFonts w:ascii="Cambria Math" w:hAnsi="Cambria Math"/>
                      <w:bCs/>
                      <w:i/>
                    </w:rPr>
                  </m:ctrlPr>
                </m:e>
                <m:sub>
                  <m:r>
                    <m:rPr>
                      <m:nor/>
                      <m:sty m:val="p"/>
                    </m:rPr>
                    <w:rPr>
                      <w:rFonts w:ascii="Times New Roman" w:hAnsi="Times New Roman"/>
                      <w:b w:val="0"/>
                      <w:i w:val="0"/>
                    </w:rPr>
                    <m:t>0</m:t>
                  </m:r>
                  <m:ctrlPr>
                    <w:rPr>
                      <w:rFonts w:ascii="Cambria Math" w:hAnsi="Cambria Math"/>
                      <w:bCs/>
                      <w:i/>
                    </w:rPr>
                  </m:ctrlPr>
                </m:sub>
              </m:sSub>
              <m:ctrlPr>
                <w:rPr>
                  <w:rFonts w:ascii="Cambria Math" w:hAnsi="Cambria Math"/>
                  <w:bCs/>
                </w:rPr>
              </m:ctrlPr>
            </m:e>
          </m:acc>
          <m:r>
            <m:rPr>
              <m:nor/>
              <m:sty m:val="p"/>
            </m:rPr>
            <w:rPr>
              <w:rFonts w:ascii="Times New Roman" w:hAnsi="Times New Roman"/>
              <w:b w:val="0"/>
              <w:i w:val="0"/>
            </w:rPr>
            <m:t>=</m:t>
          </m:r>
          <m:f>
            <m:fPr>
              <m:ctrlPr>
                <w:rPr>
                  <w:rFonts w:ascii="Cambria Math" w:hAnsi="Cambria Math"/>
                  <w:bCs/>
                  <w:i/>
                </w:rPr>
              </m:ctrlPr>
            </m:fPr>
            <m:num>
              <m:nary>
                <m:naryPr>
                  <m:chr m:val="∑"/>
                  <m:limLoc m:val="subSup"/>
                  <m:ctrlPr>
                    <w:rPr>
                      <w:rFonts w:ascii="Cambria Math" w:hAnsi="Cambria Math"/>
                      <w:bCs/>
                      <w:i/>
                    </w:rPr>
                  </m:ctrlPr>
                </m:naryPr>
                <m:sub>
                  <m:r>
                    <m:rPr>
                      <m:nor/>
                    </m:rPr>
                    <w:rPr>
                      <w:rFonts w:ascii="Times New Roman" w:hAnsi="Times New Roman"/>
                      <w:i/>
                    </w:rPr>
                    <m:t>i</m:t>
                  </m:r>
                  <m:r>
                    <m:rPr>
                      <m:nor/>
                      <m:sty m:val="p"/>
                    </m:rPr>
                    <w:rPr>
                      <w:rFonts w:ascii="Times New Roman" w:hAnsi="Times New Roman"/>
                      <w:b w:val="0"/>
                      <w:i w:val="0"/>
                    </w:rPr>
                    <m:t>=1</m:t>
                  </m:r>
                  <m:ctrlPr>
                    <w:rPr>
                      <w:rFonts w:ascii="Cambria Math" w:hAnsi="Cambria Math"/>
                      <w:bCs/>
                      <w:i/>
                    </w:rPr>
                  </m:ctrlPr>
                </m:sub>
                <m:sup>
                  <m:r>
                    <m:rPr>
                      <m:nor/>
                    </m:rPr>
                    <w:rPr>
                      <w:rFonts w:ascii="Times New Roman" w:hAnsi="Times New Roman"/>
                      <w:i/>
                    </w:rPr>
                    <m:t>n</m:t>
                  </m:r>
                  <m:ctrlPr>
                    <w:rPr>
                      <w:rFonts w:ascii="Cambria Math" w:hAnsi="Cambria Math"/>
                      <w:bCs/>
                      <w:i/>
                    </w:rPr>
                  </m:ctrlPr>
                </m:sup>
                <m:e>
                  <m:sSub>
                    <m:sSubPr>
                      <m:ctrlPr>
                        <w:rPr>
                          <w:rFonts w:ascii="Cambria Math" w:hAnsi="Cambria Math"/>
                          <w:bCs/>
                          <w:i/>
                        </w:rPr>
                      </m:ctrlPr>
                    </m:sSubPr>
                    <m:e>
                      <m:r>
                        <m:rPr>
                          <m:nor/>
                        </m:rPr>
                        <w:rPr>
                          <w:rFonts w:ascii="Times New Roman" w:hAnsi="Times New Roman"/>
                          <w:i/>
                        </w:rPr>
                        <m:t>C</m:t>
                      </m:r>
                      <m:ctrlPr>
                        <w:rPr>
                          <w:rFonts w:ascii="Cambria Math" w:hAnsi="Cambria Math"/>
                          <w:bCs/>
                          <w:i/>
                        </w:rPr>
                      </m:ctrlPr>
                    </m:e>
                    <m:sub>
                      <m:r>
                        <m:rPr>
                          <m:nor/>
                          <m:sty m:val="p"/>
                        </m:rPr>
                        <w:rPr>
                          <w:rFonts w:ascii="Times New Roman" w:hAnsi="Times New Roman"/>
                          <w:b w:val="0"/>
                          <w:i w:val="0"/>
                        </w:rPr>
                        <m:t>0i</m:t>
                      </m:r>
                      <m:ctrlPr>
                        <w:rPr>
                          <w:rFonts w:ascii="Cambria Math" w:hAnsi="Cambria Math"/>
                        </w:rPr>
                      </m:ctrlPr>
                    </m:sub>
                  </m:sSub>
                  <m:ctrlPr>
                    <w:rPr>
                      <w:rFonts w:ascii="Cambria Math" w:hAnsi="Cambria Math"/>
                      <w:bCs/>
                      <w:i/>
                    </w:rPr>
                  </m:ctrlPr>
                </m:e>
              </m:nary>
              <m:ctrlPr>
                <w:rPr>
                  <w:rFonts w:ascii="Cambria Math" w:hAnsi="Cambria Math"/>
                  <w:bCs/>
                  <w:i/>
                </w:rPr>
              </m:ctrlPr>
            </m:num>
            <m:den>
              <m:r>
                <m:rPr>
                  <m:nor/>
                </m:rPr>
                <w:rPr>
                  <w:rFonts w:ascii="Times New Roman" w:hAnsi="Times New Roman"/>
                  <w:i/>
                </w:rPr>
                <m:t>n</m:t>
              </m:r>
              <m:ctrlPr>
                <w:rPr>
                  <w:rFonts w:ascii="Cambria Math" w:hAnsi="Cambria Math"/>
                  <w:bCs/>
                  <w:i/>
                </w:rPr>
              </m:ctrlPr>
            </m:den>
          </m:f>
          <m:r>
            <m:rPr>
              <m:nor/>
              <m:sty m:val="p"/>
            </m:rPr>
            <w:rPr>
              <w:rFonts w:ascii="Times New Roman" w:hAnsi="Times New Roman"/>
              <w:b w:val="0"/>
              <w:i w:val="0"/>
            </w:rPr>
            <m:t>=</m:t>
          </m:r>
          <m:f>
            <m:fPr>
              <m:ctrlPr>
                <w:rPr>
                  <w:rFonts w:ascii="Cambria Math" w:hAnsi="Cambria Math"/>
                  <w:bCs/>
                  <w:i/>
                </w:rPr>
              </m:ctrlPr>
            </m:fPr>
            <m:num>
              <m:r>
                <m:rPr>
                  <m:nor/>
                  <m:sty m:val="p"/>
                </m:rPr>
                <w:rPr>
                  <w:rFonts w:ascii="Times New Roman" w:hAnsi="Times New Roman"/>
                  <w:b w:val="0"/>
                  <w:i w:val="0"/>
                </w:rPr>
                <m:t>(0.02+0.04+0.06+0.08+0.10)×2</m:t>
              </m:r>
              <m:ctrlPr>
                <w:rPr>
                  <w:rFonts w:ascii="Cambria Math" w:hAnsi="Cambria Math"/>
                </w:rPr>
              </m:ctrlPr>
            </m:num>
            <m:den>
              <m:r>
                <m:rPr>
                  <m:nor/>
                  <m:sty m:val="p"/>
                </m:rPr>
                <w:rPr>
                  <w:rFonts w:ascii="Times New Roman" w:hAnsi="Times New Roman"/>
                  <w:b w:val="0"/>
                  <w:i w:val="0"/>
                </w:rPr>
                <m:t>10</m:t>
              </m:r>
              <m:ctrlPr>
                <w:rPr>
                  <w:rFonts w:ascii="Cambria Math" w:hAnsi="Cambria Math"/>
                </w:rPr>
              </m:ctrlPr>
            </m:den>
          </m:f>
          <m:r>
            <m:rPr>
              <m:nor/>
              <m:sty m:val="p"/>
            </m:rPr>
            <w:rPr>
              <w:rFonts w:ascii="Times New Roman" w:hAnsi="Times New Roman"/>
              <w:b w:val="0"/>
              <w:i w:val="0"/>
            </w:rPr>
            <m:t>=0.06</m:t>
          </m:r>
          <m:r>
            <m:rPr>
              <m:nor/>
            </m:rPr>
            <w:rPr>
              <w:rFonts w:ascii="Times New Roman" w:hAnsi="Times New Roman"/>
              <w:i/>
            </w:rPr>
            <m:t>μg</m:t>
          </m:r>
          <m:r>
            <m:rPr>
              <m:nor/>
              <m:sty m:val="p"/>
            </m:rPr>
            <w:rPr>
              <w:rFonts w:ascii="Times New Roman" w:hAnsi="Times New Roman"/>
              <w:b w:val="0"/>
              <w:i w:val="0"/>
            </w:rPr>
            <m:t>/</m:t>
          </m:r>
          <m:r>
            <m:rPr>
              <m:nor/>
            </m:rPr>
            <w:rPr>
              <w:rFonts w:ascii="Times New Roman" w:hAnsi="Times New Roman"/>
              <w:i/>
            </w:rPr>
            <m:t>mL</m:t>
          </m:r>
        </m:oMath>
      </m:oMathPara>
    </w:p>
    <w:p w14:paraId="123D93B5">
      <w:pPr>
        <w:spacing w:line="360" w:lineRule="auto"/>
        <w:ind w:firstLine="420"/>
        <w:rPr>
          <w:rFonts w:ascii="Times New Roman" w:hAnsi="Times New Roman"/>
        </w:rPr>
      </w:pPr>
      <w:r>
        <w:rPr>
          <w:rFonts w:ascii="Times New Roman" w:hAnsi="Times New Roman"/>
        </w:rPr>
        <w:t>回归曲线的剩余标准差（残差的标准差）得：</w:t>
      </w:r>
    </w:p>
    <w:p w14:paraId="12908572">
      <w:pPr>
        <w:spacing w:line="360" w:lineRule="auto"/>
        <w:ind w:firstLine="420"/>
        <w:rPr>
          <w:rFonts w:ascii="Times New Roman" w:hAnsi="Times New Roman"/>
          <w:bCs/>
        </w:rPr>
      </w:pPr>
      <m:oMathPara>
        <m:oMathParaPr>
          <m:jc m:val="center"/>
        </m:oMathParaPr>
        <m:oMath>
          <m:sSub>
            <m:sSubPr>
              <m:ctrlPr>
                <w:rPr>
                  <w:rFonts w:ascii="Cambria Math" w:hAnsi="Cambria Math"/>
                  <w:bCs/>
                </w:rPr>
              </m:ctrlPr>
            </m:sSubPr>
            <m:e>
              <m:r>
                <m:rPr>
                  <m:nor/>
                </m:rPr>
                <w:rPr>
                  <w:rFonts w:ascii="Times New Roman" w:hAnsi="Times New Roman"/>
                  <w:i/>
                </w:rPr>
                <m:t>S</m:t>
              </m:r>
              <m:ctrlPr>
                <w:rPr>
                  <w:rFonts w:ascii="Cambria Math" w:hAnsi="Cambria Math"/>
                  <w:bCs/>
                </w:rPr>
              </m:ctrlPr>
            </m:e>
            <m:sub>
              <m:r>
                <m:rPr>
                  <m:nor/>
                </m:rPr>
                <w:rPr>
                  <w:rFonts w:ascii="Times New Roman" w:hAnsi="Times New Roman"/>
                  <w:i/>
                </w:rPr>
                <m:t>R</m:t>
              </m:r>
              <m:ctrlPr>
                <w:rPr>
                  <w:rFonts w:ascii="Cambria Math" w:hAnsi="Cambria Math"/>
                  <w:bCs/>
                </w:rPr>
              </m:ctrlPr>
            </m:sub>
          </m:sSub>
          <m:r>
            <m:rPr>
              <m:nor/>
              <m:sty m:val="p"/>
            </m:rPr>
            <w:rPr>
              <w:rFonts w:ascii="Times New Roman" w:hAnsi="Times New Roman"/>
              <w:b w:val="0"/>
              <w:i w:val="0"/>
            </w:rPr>
            <m:t>=</m:t>
          </m:r>
          <m:rad>
            <m:radPr>
              <m:degHide m:val="1"/>
              <m:ctrlPr>
                <w:rPr>
                  <w:rFonts w:ascii="Cambria Math" w:hAnsi="Cambria Math"/>
                  <w:bCs/>
                  <w:i/>
                </w:rPr>
              </m:ctrlPr>
            </m:radPr>
            <m:deg>
              <m:ctrlPr>
                <w:rPr>
                  <w:rFonts w:ascii="Cambria Math" w:hAnsi="Cambria Math"/>
                  <w:bCs/>
                  <w:i/>
                </w:rPr>
              </m:ctrlPr>
            </m:deg>
            <m:e>
              <m:f>
                <m:fPr>
                  <m:ctrlPr>
                    <w:rPr>
                      <w:rFonts w:ascii="Cambria Math" w:hAnsi="Cambria Math"/>
                      <w:bCs/>
                      <w:i/>
                    </w:rPr>
                  </m:ctrlPr>
                </m:fPr>
                <m:num>
                  <m:nary>
                    <m:naryPr>
                      <m:chr m:val="∑"/>
                      <m:limLoc m:val="undOvr"/>
                      <m:ctrlPr>
                        <w:rPr>
                          <w:rFonts w:ascii="Cambria Math" w:hAnsi="Cambria Math"/>
                          <w:bCs/>
                          <w:i/>
                        </w:rPr>
                      </m:ctrlPr>
                    </m:naryPr>
                    <m:sub>
                      <m:r>
                        <m:rPr>
                          <m:nor/>
                        </m:rPr>
                        <w:rPr>
                          <w:rFonts w:ascii="Times New Roman" w:hAnsi="Times New Roman"/>
                          <w:i/>
                        </w:rPr>
                        <m:t>i</m:t>
                      </m:r>
                      <m:r>
                        <m:rPr>
                          <m:nor/>
                          <m:sty m:val="p"/>
                        </m:rPr>
                        <w:rPr>
                          <w:rFonts w:ascii="Times New Roman" w:hAnsi="Times New Roman"/>
                          <w:b w:val="0"/>
                          <w:i w:val="0"/>
                        </w:rPr>
                        <m:t>=1</m:t>
                      </m:r>
                      <m:ctrlPr>
                        <w:rPr>
                          <w:rFonts w:ascii="Cambria Math" w:hAnsi="Cambria Math"/>
                          <w:bCs/>
                          <w:i/>
                        </w:rPr>
                      </m:ctrlPr>
                    </m:sub>
                    <m:sup>
                      <m:r>
                        <m:rPr>
                          <m:nor/>
                        </m:rPr>
                        <w:rPr>
                          <w:rFonts w:ascii="Times New Roman" w:hAnsi="Times New Roman"/>
                          <w:i/>
                        </w:rPr>
                        <m:t>n</m:t>
                      </m:r>
                      <m:ctrlPr>
                        <w:rPr>
                          <w:rFonts w:ascii="Cambria Math" w:hAnsi="Cambria Math"/>
                          <w:bCs/>
                          <w:i/>
                        </w:rPr>
                      </m:ctrlPr>
                    </m:sup>
                    <m:e>
                      <m:sSup>
                        <m:sSupPr>
                          <m:ctrlPr>
                            <w:rPr>
                              <w:rFonts w:ascii="Cambria Math" w:hAnsi="Cambria Math"/>
                              <w:bCs/>
                              <w:i/>
                            </w:rPr>
                          </m:ctrlPr>
                        </m:sSupPr>
                        <m:e>
                          <m:d>
                            <m:dPr>
                              <m:begChr m:val="["/>
                              <m:endChr m:val="]"/>
                              <m:ctrlPr>
                                <w:rPr>
                                  <w:rFonts w:ascii="Cambria Math" w:hAnsi="Cambria Math"/>
                                  <w:bCs/>
                                  <w:i/>
                                </w:rPr>
                              </m:ctrlPr>
                            </m:dPr>
                            <m:e>
                              <m:sSub>
                                <m:sSubPr>
                                  <m:ctrlPr>
                                    <w:rPr>
                                      <w:rFonts w:ascii="Cambria Math" w:hAnsi="Cambria Math"/>
                                      <w:bCs/>
                                      <w:i/>
                                    </w:rPr>
                                  </m:ctrlPr>
                                </m:sSubPr>
                                <m:e>
                                  <m:r>
                                    <m:rPr>
                                      <m:nor/>
                                    </m:rPr>
                                    <w:rPr>
                                      <w:rFonts w:ascii="Times New Roman" w:hAnsi="Times New Roman"/>
                                      <w:i/>
                                    </w:rPr>
                                    <m:t>A</m:t>
                                  </m:r>
                                  <m:ctrlPr>
                                    <w:rPr>
                                      <w:rFonts w:ascii="Cambria Math" w:hAnsi="Cambria Math"/>
                                      <w:bCs/>
                                      <w:i/>
                                    </w:rPr>
                                  </m:ctrlPr>
                                </m:e>
                                <m:sub>
                                  <m:r>
                                    <m:rPr>
                                      <m:nor/>
                                    </m:rPr>
                                    <w:rPr>
                                      <w:rFonts w:ascii="Times New Roman" w:hAnsi="Times New Roman"/>
                                      <w:i/>
                                    </w:rPr>
                                    <m:t>Oi</m:t>
                                  </m:r>
                                  <m:ctrlPr>
                                    <w:rPr>
                                      <w:rFonts w:ascii="Cambria Math" w:hAnsi="Cambria Math"/>
                                      <w:bCs/>
                                      <w:i/>
                                    </w:rPr>
                                  </m:ctrlPr>
                                </m:sub>
                              </m:sSub>
                              <m:r>
                                <m:rPr>
                                  <m:nor/>
                                  <m:sty m:val="p"/>
                                </m:rPr>
                                <w:rPr>
                                  <w:rFonts w:ascii="Times New Roman" w:hAnsi="Times New Roman"/>
                                  <w:b w:val="0"/>
                                  <w:i w:val="0"/>
                                </w:rPr>
                                <m:t>-（</m:t>
                              </m:r>
                              <m:r>
                                <m:rPr>
                                  <m:nor/>
                                </m:rPr>
                                <w:rPr>
                                  <w:rFonts w:ascii="Times New Roman" w:hAnsi="Times New Roman"/>
                                  <w:i/>
                                </w:rPr>
                                <m:t>a</m:t>
                              </m:r>
                              <m:r>
                                <m:rPr>
                                  <m:nor/>
                                  <m:sty m:val="p"/>
                                </m:rPr>
                                <w:rPr>
                                  <w:rFonts w:ascii="Times New Roman" w:hAnsi="Times New Roman"/>
                                  <w:b w:val="0"/>
                                  <w:i w:val="0"/>
                                </w:rPr>
                                <m:t>+</m:t>
                              </m:r>
                              <m:r>
                                <m:rPr>
                                  <m:nor/>
                                </m:rPr>
                                <w:rPr>
                                  <w:rFonts w:ascii="Times New Roman" w:hAnsi="Times New Roman"/>
                                  <w:i/>
                                </w:rPr>
                                <m:t>b</m:t>
                              </m:r>
                              <m:sSub>
                                <m:sSubPr>
                                  <m:ctrlPr>
                                    <w:rPr>
                                      <w:rFonts w:ascii="Cambria Math" w:hAnsi="Cambria Math"/>
                                      <w:bCs/>
                                      <w:i/>
                                    </w:rPr>
                                  </m:ctrlPr>
                                </m:sSubPr>
                                <m:e>
                                  <m:r>
                                    <m:rPr>
                                      <m:nor/>
                                    </m:rPr>
                                    <w:rPr>
                                      <w:rFonts w:ascii="Times New Roman" w:hAnsi="Times New Roman"/>
                                      <w:i/>
                                    </w:rPr>
                                    <m:t>C</m:t>
                                  </m:r>
                                  <m:ctrlPr>
                                    <w:rPr>
                                      <w:rFonts w:ascii="Cambria Math" w:hAnsi="Cambria Math"/>
                                      <w:bCs/>
                                      <w:i/>
                                    </w:rPr>
                                  </m:ctrlPr>
                                </m:e>
                                <m:sub>
                                  <m:r>
                                    <m:rPr>
                                      <m:nor/>
                                      <m:sty m:val="p"/>
                                    </m:rPr>
                                    <w:rPr>
                                      <w:rFonts w:ascii="Times New Roman" w:hAnsi="Times New Roman"/>
                                      <w:b w:val="0"/>
                                      <w:i w:val="0"/>
                                    </w:rPr>
                                    <m:t>0i</m:t>
                                  </m:r>
                                  <m:ctrlPr>
                                    <w:rPr>
                                      <w:rFonts w:ascii="Cambria Math" w:hAnsi="Cambria Math"/>
                                    </w:rPr>
                                  </m:ctrlPr>
                                </m:sub>
                              </m:sSub>
                              <m:r>
                                <m:rPr>
                                  <m:nor/>
                                  <m:sty m:val="p"/>
                                </m:rPr>
                                <w:rPr>
                                  <w:rFonts w:ascii="Times New Roman" w:hAnsi="Times New Roman"/>
                                  <w:b w:val="0"/>
                                  <w:i w:val="0"/>
                                </w:rPr>
                                <m:t>）</m:t>
                              </m:r>
                              <m:ctrlPr>
                                <w:rPr>
                                  <w:rFonts w:ascii="Cambria Math" w:hAnsi="Cambria Math"/>
                                  <w:bCs/>
                                  <w:i/>
                                </w:rPr>
                              </m:ctrlPr>
                            </m:e>
                          </m:d>
                          <m:ctrlPr>
                            <w:rPr>
                              <w:rFonts w:ascii="Cambria Math" w:hAnsi="Cambria Math"/>
                              <w:bCs/>
                              <w:i/>
                            </w:rPr>
                          </m:ctrlPr>
                        </m:e>
                        <m:sup>
                          <m:r>
                            <m:rPr>
                              <m:nor/>
                              <m:sty m:val="p"/>
                            </m:rPr>
                            <w:rPr>
                              <w:rFonts w:ascii="Times New Roman" w:hAnsi="Times New Roman"/>
                              <w:b w:val="0"/>
                              <w:i w:val="0"/>
                            </w:rPr>
                            <m:t>2</m:t>
                          </m:r>
                          <m:ctrlPr>
                            <w:rPr>
                              <w:rFonts w:ascii="Cambria Math" w:hAnsi="Cambria Math"/>
                              <w:bCs/>
                              <w:i/>
                            </w:rPr>
                          </m:ctrlPr>
                        </m:sup>
                      </m:sSup>
                      <m:ctrlPr>
                        <w:rPr>
                          <w:rFonts w:ascii="Cambria Math" w:hAnsi="Cambria Math"/>
                          <w:bCs/>
                          <w:i/>
                        </w:rPr>
                      </m:ctrlPr>
                    </m:e>
                  </m:nary>
                  <m:ctrlPr>
                    <w:rPr>
                      <w:rFonts w:ascii="Cambria Math" w:hAnsi="Cambria Math"/>
                      <w:bCs/>
                      <w:i/>
                    </w:rPr>
                  </m:ctrlPr>
                </m:num>
                <m:den>
                  <m:r>
                    <m:rPr>
                      <m:nor/>
                    </m:rPr>
                    <w:rPr>
                      <w:rFonts w:ascii="Times New Roman" w:hAnsi="Times New Roman"/>
                      <w:i/>
                    </w:rPr>
                    <m:t>n</m:t>
                  </m:r>
                  <m:r>
                    <m:rPr>
                      <m:nor/>
                      <m:sty m:val="p"/>
                    </m:rPr>
                    <w:rPr>
                      <w:rFonts w:ascii="Times New Roman" w:hAnsi="Times New Roman"/>
                      <w:b w:val="0"/>
                      <w:i w:val="0"/>
                    </w:rPr>
                    <m:t>-2</m:t>
                  </m:r>
                  <m:ctrlPr>
                    <w:rPr>
                      <w:rFonts w:ascii="Cambria Math" w:hAnsi="Cambria Math"/>
                      <w:bCs/>
                      <w:i/>
                    </w:rPr>
                  </m:ctrlPr>
                </m:den>
              </m:f>
              <m:ctrlPr>
                <w:rPr>
                  <w:rFonts w:ascii="Cambria Math" w:hAnsi="Cambria Math"/>
                  <w:bCs/>
                  <w:i/>
                </w:rPr>
              </m:ctrlPr>
            </m:e>
          </m:rad>
          <m:r>
            <m:rPr>
              <m:nor/>
              <m:sty m:val="p"/>
            </m:rPr>
            <w:rPr>
              <w:rFonts w:ascii="Times New Roman" w:hAnsi="Times New Roman"/>
              <w:b w:val="0"/>
              <w:i w:val="0"/>
            </w:rPr>
            <m:t>=396.2</m:t>
          </m:r>
          <m:r>
            <m:rPr>
              <m:nor/>
            </m:rPr>
            <w:rPr>
              <w:rFonts w:ascii="Times New Roman" w:hAnsi="Times New Roman"/>
              <w:i/>
            </w:rPr>
            <m:t>μg</m:t>
          </m:r>
          <m:r>
            <m:rPr>
              <m:nor/>
              <m:sty m:val="p"/>
            </m:rPr>
            <w:rPr>
              <w:rFonts w:ascii="Times New Roman" w:hAnsi="Times New Roman"/>
              <w:b w:val="0"/>
              <w:i w:val="0"/>
            </w:rPr>
            <m:t>/</m:t>
          </m:r>
          <m:r>
            <m:rPr>
              <m:nor/>
            </m:rPr>
            <w:rPr>
              <w:rFonts w:ascii="Times New Roman" w:hAnsi="Times New Roman"/>
              <w:i/>
            </w:rPr>
            <m:t>mL</m:t>
          </m:r>
        </m:oMath>
      </m:oMathPara>
    </w:p>
    <w:p w14:paraId="32464B38">
      <w:pPr>
        <w:spacing w:line="360" w:lineRule="auto"/>
        <w:ind w:firstLine="420"/>
        <w:rPr>
          <w:rFonts w:ascii="Times New Roman" w:hAnsi="Times New Roman"/>
          <w:bCs/>
        </w:rPr>
      </w:pPr>
      <w:r>
        <w:rPr>
          <w:rFonts w:ascii="Times New Roman" w:hAnsi="Times New Roman"/>
          <w:bCs/>
        </w:rPr>
        <w:t>对样品测定液进行了2次测量，由直线方程求的的平均质量浓度：</w:t>
      </w:r>
    </w:p>
    <w:p w14:paraId="41BD3242">
      <w:pPr>
        <w:spacing w:line="360" w:lineRule="auto"/>
        <w:ind w:firstLine="420"/>
        <w:rPr>
          <w:rFonts w:ascii="Times New Roman" w:hAnsi="Times New Roman"/>
          <w:bCs/>
        </w:rPr>
      </w:pPr>
      <m:oMathPara>
        <m:oMath>
          <m:acc>
            <m:accPr>
              <m:chr m:val="̅"/>
              <m:ctrlPr>
                <w:rPr>
                  <w:rFonts w:ascii="Cambria Math" w:hAnsi="Cambria Math"/>
                  <w:bCs/>
                </w:rPr>
              </m:ctrlPr>
            </m:accPr>
            <m:e>
              <m:r>
                <m:rPr>
                  <m:nor/>
                </m:rPr>
                <w:rPr>
                  <w:rFonts w:ascii="Times New Roman" w:hAnsi="Times New Roman"/>
                  <w:i/>
                </w:rPr>
                <m:t>C</m:t>
              </m:r>
              <m:ctrlPr>
                <w:rPr>
                  <w:rFonts w:ascii="Cambria Math" w:hAnsi="Cambria Math"/>
                  <w:bCs/>
                </w:rPr>
              </m:ctrlPr>
            </m:e>
          </m:acc>
          <m:r>
            <m:rPr>
              <m:nor/>
              <m:sty m:val="p"/>
            </m:rPr>
            <w:rPr>
              <w:rFonts w:ascii="Times New Roman" w:hAnsi="Times New Roman"/>
              <w:b w:val="0"/>
              <w:i w:val="0"/>
            </w:rPr>
            <m:t>=0.041</m:t>
          </m:r>
          <m:r>
            <m:rPr>
              <m:nor/>
            </m:rPr>
            <w:rPr>
              <w:rFonts w:ascii="Times New Roman" w:hAnsi="Times New Roman"/>
              <w:i/>
            </w:rPr>
            <m:t>μg</m:t>
          </m:r>
          <m:r>
            <m:rPr>
              <m:nor/>
              <m:sty m:val="p"/>
            </m:rPr>
            <w:rPr>
              <w:rFonts w:ascii="Times New Roman" w:hAnsi="Times New Roman"/>
              <w:b w:val="0"/>
              <w:i w:val="0"/>
            </w:rPr>
            <m:t>/</m:t>
          </m:r>
          <m:r>
            <m:rPr>
              <m:nor/>
            </m:rPr>
            <w:rPr>
              <w:rFonts w:ascii="Times New Roman" w:hAnsi="Times New Roman"/>
              <w:i/>
            </w:rPr>
            <m:t>mL</m:t>
          </m:r>
        </m:oMath>
      </m:oMathPara>
    </w:p>
    <w:p w14:paraId="11165515">
      <w:pPr>
        <w:spacing w:line="360" w:lineRule="auto"/>
        <w:ind w:firstLine="420"/>
        <w:rPr>
          <w:rFonts w:ascii="Times New Roman" w:hAnsi="Times New Roman"/>
          <w:bCs/>
        </w:rPr>
      </w:pPr>
      <w:r>
        <w:rPr>
          <w:rFonts w:ascii="Times New Roman" w:hAnsi="Times New Roman"/>
          <w:bCs/>
        </w:rPr>
        <w:t>则由标准曲线拟合带来的不确定度：</w:t>
      </w:r>
    </w:p>
    <w:p w14:paraId="1A1949AB">
      <w:pPr>
        <w:spacing w:line="360" w:lineRule="auto"/>
        <w:ind w:firstLine="420"/>
        <w:rPr>
          <w:rFonts w:ascii="Times New Roman" w:hAnsi="Times New Roman"/>
        </w:rPr>
      </w:pPr>
      <m:oMathPara>
        <m:oMathParaPr>
          <m:jc m:val="center"/>
        </m:oMathParaPr>
        <m:oMath>
          <m:sSub>
            <m:sSubPr>
              <m:ctrlPr>
                <w:rPr>
                  <w:rFonts w:ascii="Cambria Math" w:hAnsi="Cambria Math"/>
                  <w:i/>
                </w:rPr>
              </m:ctrlPr>
            </m:sSubPr>
            <m:e>
              <m:r>
                <m:rPr>
                  <m:nor/>
                </m:rPr>
                <w:rPr>
                  <w:rFonts w:ascii="Times New Roman" w:hAnsi="Times New Roman"/>
                  <w:i/>
                </w:rPr>
                <m:t>u</m:t>
              </m:r>
              <m:ctrlPr>
                <w:rPr>
                  <w:rFonts w:ascii="Cambria Math" w:hAnsi="Cambria Math"/>
                  <w:i/>
                </w:rPr>
              </m:ctrlPr>
            </m:e>
            <m:sub>
              <m:r>
                <m:rPr>
                  <m:nor/>
                  <m:sty m:val="p"/>
                </m:rPr>
                <w:rPr>
                  <w:rFonts w:ascii="Times New Roman" w:hAnsi="Times New Roman"/>
                  <w:b w:val="0"/>
                  <w:i w:val="0"/>
                </w:rPr>
                <m:t>4</m:t>
              </m:r>
              <m:ctrlPr>
                <w:rPr>
                  <w:rFonts w:ascii="Cambria Math" w:hAnsi="Cambria Math"/>
                  <w:i/>
                </w:rPr>
              </m:ctrlPr>
            </m:sub>
          </m:sSub>
          <m:d>
            <m:dPr>
              <m:begChr m:val="（"/>
              <m:endChr m:val="）"/>
              <m:ctrlPr>
                <w:rPr>
                  <w:rFonts w:ascii="Cambria Math" w:hAnsi="Cambria Math"/>
                  <w:i/>
                </w:rPr>
              </m:ctrlPr>
            </m:dPr>
            <m:e>
              <m:r>
                <m:rPr>
                  <m:nor/>
                </m:rPr>
                <w:rPr>
                  <w:rFonts w:ascii="Times New Roman" w:hAnsi="Times New Roman"/>
                  <w:i/>
                </w:rPr>
                <m:t>C</m:t>
              </m:r>
              <m:ctrlPr>
                <w:rPr>
                  <w:rFonts w:ascii="Cambria Math" w:hAnsi="Cambria Math"/>
                  <w:i/>
                </w:rPr>
              </m:ctrlPr>
            </m:e>
          </m:d>
          <m:r>
            <m:rPr>
              <m:nor/>
              <m:sty m:val="p"/>
            </m:rPr>
            <w:rPr>
              <w:rFonts w:ascii="Times New Roman" w:hAnsi="Times New Roman"/>
              <w:b w:val="0"/>
              <w:i w:val="0"/>
            </w:rPr>
            <m:t>=</m:t>
          </m:r>
          <m:f>
            <m:fPr>
              <m:ctrlPr>
                <w:rPr>
                  <w:rFonts w:ascii="Cambria Math" w:hAnsi="Cambria Math"/>
                  <w:i/>
                </w:rPr>
              </m:ctrlPr>
            </m:fPr>
            <m:num>
              <m:sSub>
                <m:sSubPr>
                  <m:ctrlPr>
                    <w:rPr>
                      <w:rFonts w:ascii="Cambria Math" w:hAnsi="Cambria Math"/>
                      <w:i/>
                    </w:rPr>
                  </m:ctrlPr>
                </m:sSubPr>
                <m:e>
                  <m:r>
                    <m:rPr>
                      <m:nor/>
                    </m:rPr>
                    <w:rPr>
                      <w:rFonts w:ascii="Times New Roman" w:hAnsi="Times New Roman"/>
                      <w:i/>
                    </w:rPr>
                    <m:t>S</m:t>
                  </m:r>
                  <m:ctrlPr>
                    <w:rPr>
                      <w:rFonts w:ascii="Cambria Math" w:hAnsi="Cambria Math"/>
                      <w:i/>
                    </w:rPr>
                  </m:ctrlPr>
                </m:e>
                <m:sub>
                  <m:r>
                    <m:rPr>
                      <m:nor/>
                    </m:rPr>
                    <w:rPr>
                      <w:rFonts w:ascii="Times New Roman" w:hAnsi="Times New Roman"/>
                      <w:i/>
                    </w:rPr>
                    <m:t>R</m:t>
                  </m:r>
                  <m:ctrlPr>
                    <w:rPr>
                      <w:rFonts w:ascii="Cambria Math" w:hAnsi="Cambria Math"/>
                      <w:i/>
                    </w:rPr>
                  </m:ctrlPr>
                </m:sub>
              </m:sSub>
              <m:ctrlPr>
                <w:rPr>
                  <w:rFonts w:ascii="Cambria Math" w:hAnsi="Cambria Math"/>
                  <w:i/>
                </w:rPr>
              </m:ctrlPr>
            </m:num>
            <m:den>
              <m:r>
                <m:rPr>
                  <m:nor/>
                </m:rPr>
                <w:rPr>
                  <w:rFonts w:ascii="Times New Roman" w:hAnsi="Times New Roman"/>
                  <w:i/>
                </w:rPr>
                <m:t>b</m:t>
              </m:r>
              <m:ctrlPr>
                <w:rPr>
                  <w:rFonts w:ascii="Cambria Math" w:hAnsi="Cambria Math"/>
                  <w:i/>
                </w:rPr>
              </m:ctrlPr>
            </m:den>
          </m:f>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r>
                    <m:rPr>
                      <m:nor/>
                      <m:sty m:val="p"/>
                    </m:rPr>
                    <w:rPr>
                      <w:rFonts w:ascii="Times New Roman" w:hAnsi="Times New Roman"/>
                      <w:b w:val="0"/>
                      <w:i w:val="0"/>
                    </w:rPr>
                    <m:t>1</m:t>
                  </m:r>
                  <m:ctrlPr>
                    <w:rPr>
                      <w:rFonts w:ascii="Cambria Math" w:hAnsi="Cambria Math"/>
                      <w:i/>
                    </w:rPr>
                  </m:ctrlPr>
                </m:num>
                <m:den>
                  <m:r>
                    <m:rPr>
                      <m:nor/>
                    </m:rPr>
                    <w:rPr>
                      <w:rFonts w:ascii="Times New Roman" w:hAnsi="Times New Roman"/>
                      <w:i/>
                    </w:rPr>
                    <m:t>p</m:t>
                  </m:r>
                  <m:ctrlPr>
                    <w:rPr>
                      <w:rFonts w:ascii="Cambria Math" w:hAnsi="Cambria Math"/>
                      <w:i/>
                    </w:rPr>
                  </m:ctrlPr>
                </m:den>
              </m:f>
              <m:r>
                <m:rPr>
                  <m:nor/>
                  <m:sty m:val="p"/>
                </m:rPr>
                <w:rPr>
                  <w:rFonts w:ascii="Times New Roman" w:hAnsi="Times New Roman"/>
                  <w:b w:val="0"/>
                  <w:i w:val="0"/>
                </w:rPr>
                <m:t>+</m:t>
              </m:r>
              <m:f>
                <m:fPr>
                  <m:ctrlPr>
                    <w:rPr>
                      <w:rFonts w:ascii="Cambria Math" w:hAnsi="Cambria Math"/>
                      <w:i/>
                    </w:rPr>
                  </m:ctrlPr>
                </m:fPr>
                <m:num>
                  <m:r>
                    <m:rPr>
                      <m:nor/>
                      <m:sty m:val="p"/>
                    </m:rPr>
                    <w:rPr>
                      <w:rFonts w:ascii="Times New Roman" w:hAnsi="Times New Roman"/>
                      <w:b w:val="0"/>
                      <w:i w:val="0"/>
                    </w:rPr>
                    <m:t>1</m:t>
                  </m:r>
                  <m:ctrlPr>
                    <w:rPr>
                      <w:rFonts w:ascii="Cambria Math" w:hAnsi="Cambria Math"/>
                      <w:i/>
                    </w:rPr>
                  </m:ctrlPr>
                </m:num>
                <m:den>
                  <m:r>
                    <m:rPr>
                      <m:nor/>
                    </m:rPr>
                    <w:rPr>
                      <w:rFonts w:ascii="Times New Roman" w:hAnsi="Times New Roman"/>
                      <w:i/>
                    </w:rPr>
                    <m:t>n</m:t>
                  </m:r>
                  <m:ctrlPr>
                    <w:rPr>
                      <w:rFonts w:ascii="Cambria Math" w:hAnsi="Cambria Math"/>
                      <w:i/>
                    </w:rPr>
                  </m:ctrlPr>
                </m:den>
              </m:f>
              <m:r>
                <m:rPr>
                  <m:nor/>
                  <m:sty m:val="p"/>
                </m:rPr>
                <w:rPr>
                  <w:rFonts w:ascii="Times New Roman" w:hAnsi="Times New Roman"/>
                  <w:b w:val="0"/>
                  <w:i w:val="0"/>
                </w:rPr>
                <m:t>+</m:t>
              </m:r>
              <m:f>
                <m:fPr>
                  <m:ctrlPr>
                    <w:rPr>
                      <w:rFonts w:ascii="Cambria Math" w:hAnsi="Cambria Math"/>
                    </w:rPr>
                  </m:ctrlPr>
                </m:fPr>
                <m:num>
                  <m:sSup>
                    <m:sSupPr>
                      <m:ctrlPr>
                        <w:rPr>
                          <w:rFonts w:ascii="Cambria Math" w:hAnsi="Cambria Math"/>
                        </w:rPr>
                      </m:ctrlPr>
                    </m:sSupPr>
                    <m:e>
                      <m:r>
                        <m:rPr>
                          <m:nor/>
                          <m:sty m:val="p"/>
                        </m:rPr>
                        <w:rPr>
                          <w:rFonts w:ascii="Times New Roman" w:hAnsi="Times New Roman"/>
                          <w:b w:val="0"/>
                          <w:i w:val="0"/>
                        </w:rPr>
                        <m:t>（</m:t>
                      </m:r>
                      <m:acc>
                        <m:accPr>
                          <m:chr m:val="̅"/>
                          <m:ctrlPr>
                            <w:rPr>
                              <w:rFonts w:ascii="Cambria Math" w:hAnsi="Cambria Math"/>
                            </w:rPr>
                          </m:ctrlPr>
                        </m:accPr>
                        <m:e>
                          <m:r>
                            <m:rPr>
                              <m:nor/>
                            </m:rPr>
                            <w:rPr>
                              <w:rFonts w:ascii="Times New Roman" w:hAnsi="Times New Roman"/>
                              <w:i/>
                            </w:rPr>
                            <m:t>C</m:t>
                          </m:r>
                          <m:ctrlPr>
                            <w:rPr>
                              <w:rFonts w:ascii="Cambria Math" w:hAnsi="Cambria Math"/>
                            </w:rPr>
                          </m:ctrlPr>
                        </m:e>
                      </m:acc>
                      <m:r>
                        <m:rPr>
                          <m:nor/>
                          <m:sty m:val="p"/>
                        </m:rPr>
                        <w:rPr>
                          <w:rFonts w:ascii="Times New Roman" w:hAnsi="Times New Roman"/>
                          <w:b w:val="0"/>
                          <w:i w:val="0"/>
                        </w:rPr>
                        <m:t>-</m:t>
                      </m:r>
                      <m:acc>
                        <m:accPr>
                          <m:chr m:val="̅"/>
                          <m:ctrlPr>
                            <w:rPr>
                              <w:rFonts w:ascii="Cambria Math" w:hAnsi="Cambria Math"/>
                            </w:rPr>
                          </m:ctrlPr>
                        </m:accPr>
                        <m:e>
                          <m:sSub>
                            <m:sSubPr>
                              <m:ctrlPr>
                                <w:rPr>
                                  <w:rFonts w:ascii="Cambria Math" w:hAnsi="Cambria Math"/>
                                  <w:i/>
                                </w:rPr>
                              </m:ctrlPr>
                            </m:sSubPr>
                            <m:e>
                              <m:r>
                                <m:rPr>
                                  <m:nor/>
                                </m:rPr>
                                <w:rPr>
                                  <w:rFonts w:ascii="Times New Roman" w:hAnsi="Times New Roman"/>
                                  <w:i/>
                                </w:rPr>
                                <m:t>C</m:t>
                              </m:r>
                              <m:ctrlPr>
                                <w:rPr>
                                  <w:rFonts w:ascii="Cambria Math" w:hAnsi="Cambria Math"/>
                                  <w:i/>
                                </w:rPr>
                              </m:ctrlPr>
                            </m:e>
                            <m:sub>
                              <m:r>
                                <m:rPr>
                                  <m:nor/>
                                  <m:sty m:val="p"/>
                                </m:rPr>
                                <w:rPr>
                                  <w:rFonts w:ascii="Times New Roman" w:hAnsi="Times New Roman"/>
                                  <w:b w:val="0"/>
                                  <w:i w:val="0"/>
                                </w:rPr>
                                <m:t>0</m:t>
                              </m:r>
                              <m:ctrlPr>
                                <w:rPr>
                                  <w:rFonts w:ascii="Cambria Math" w:hAnsi="Cambria Math"/>
                                  <w:i/>
                                </w:rPr>
                              </m:ctrlPr>
                            </m:sub>
                          </m:sSub>
                          <m:ctrlPr>
                            <w:rPr>
                              <w:rFonts w:ascii="Cambria Math" w:hAnsi="Cambria Math"/>
                            </w:rPr>
                          </m:ctrlPr>
                        </m:e>
                      </m:acc>
                      <m:r>
                        <m:rPr>
                          <m:nor/>
                          <m:sty m:val="p"/>
                        </m:rPr>
                        <w:rPr>
                          <w:rFonts w:ascii="Times New Roman" w:hAnsi="Times New Roman"/>
                          <w:b w:val="0"/>
                          <w:i w:val="0"/>
                        </w:rPr>
                        <m:t>）</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num>
                <m:den>
                  <m:nary>
                    <m:naryPr>
                      <m:chr m:val="∑"/>
                      <m:limLoc m:val="undOvr"/>
                      <m:ctrlPr>
                        <w:rPr>
                          <w:rFonts w:ascii="Cambria Math" w:hAnsi="Cambria Math"/>
                          <w:i/>
                        </w:rPr>
                      </m:ctrlPr>
                    </m:naryPr>
                    <m:sub>
                      <m:r>
                        <m:rPr>
                          <m:nor/>
                        </m:rPr>
                        <w:rPr>
                          <w:rFonts w:ascii="Times New Roman" w:hAnsi="Times New Roman"/>
                          <w:i/>
                        </w:rPr>
                        <m:t>i</m:t>
                      </m:r>
                      <m:r>
                        <m:rPr>
                          <m:nor/>
                          <m:sty m:val="p"/>
                        </m:rPr>
                        <w:rPr>
                          <w:rFonts w:ascii="Times New Roman" w:hAnsi="Times New Roman"/>
                          <w:b w:val="0"/>
                          <w:i w:val="0"/>
                        </w:rPr>
                        <m:t>=1</m:t>
                      </m:r>
                      <m:ctrlPr>
                        <w:rPr>
                          <w:rFonts w:ascii="Cambria Math" w:hAnsi="Cambria Math"/>
                          <w:i/>
                        </w:rPr>
                      </m:ctrlPr>
                    </m:sub>
                    <m:sup>
                      <m:r>
                        <m:rPr>
                          <m:nor/>
                        </m:rPr>
                        <w:rPr>
                          <w:rFonts w:ascii="Times New Roman" w:hAnsi="Times New Roman"/>
                          <w:i/>
                        </w:rPr>
                        <m:t>n</m:t>
                      </m:r>
                      <m:ctrlPr>
                        <w:rPr>
                          <w:rFonts w:ascii="Cambria Math" w:hAnsi="Cambria Math"/>
                          <w:i/>
                        </w:rPr>
                      </m:ctrlPr>
                    </m:sup>
                    <m:e>
                      <m:sSup>
                        <m:sSupPr>
                          <m:ctrlPr>
                            <w:rPr>
                              <w:rFonts w:ascii="Cambria Math" w:hAnsi="Cambria Math"/>
                              <w:i/>
                            </w:rPr>
                          </m:ctrlPr>
                        </m:sSupPr>
                        <m:e>
                          <m:r>
                            <m:rPr>
                              <m:nor/>
                              <m:sty m:val="p"/>
                            </m:rPr>
                            <w:rPr>
                              <w:rFonts w:ascii="Times New Roman" w:hAnsi="Times New Roman"/>
                              <w:b w:val="0"/>
                              <w:i w:val="0"/>
                            </w:rPr>
                            <m:t>(</m:t>
                          </m:r>
                          <m:sSub>
                            <m:sSubPr>
                              <m:ctrlPr>
                                <w:rPr>
                                  <w:rFonts w:ascii="Cambria Math" w:hAnsi="Cambria Math"/>
                                  <w:i/>
                                </w:rPr>
                              </m:ctrlPr>
                            </m:sSubPr>
                            <m:e>
                              <m:r>
                                <m:rPr>
                                  <m:nor/>
                                </m:rPr>
                                <w:rPr>
                                  <w:rFonts w:ascii="Times New Roman" w:hAnsi="Times New Roman"/>
                                  <w:i/>
                                </w:rPr>
                                <m:t>C</m:t>
                              </m:r>
                              <m:ctrlPr>
                                <w:rPr>
                                  <w:rFonts w:ascii="Cambria Math" w:hAnsi="Cambria Math"/>
                                  <w:i/>
                                </w:rPr>
                              </m:ctrlPr>
                            </m:e>
                            <m:sub>
                              <m:r>
                                <m:rPr>
                                  <m:nor/>
                                  <m:sty m:val="p"/>
                                </m:rPr>
                                <w:rPr>
                                  <w:rFonts w:ascii="Times New Roman" w:hAnsi="Times New Roman"/>
                                  <w:b w:val="0"/>
                                  <w:i w:val="0"/>
                                </w:rPr>
                                <m:t>0</m:t>
                              </m:r>
                              <m:r>
                                <m:rPr>
                                  <m:nor/>
                                </m:rPr>
                                <w:rPr>
                                  <w:rFonts w:ascii="Times New Roman" w:hAnsi="Times New Roman"/>
                                  <w:i/>
                                </w:rPr>
                                <m:t>i</m:t>
                              </m:r>
                              <m:ctrlPr>
                                <w:rPr>
                                  <w:rFonts w:ascii="Cambria Math" w:hAnsi="Cambria Math"/>
                                  <w:i/>
                                </w:rPr>
                              </m:ctrlPr>
                            </m:sub>
                          </m:sSub>
                          <m:r>
                            <m:rPr>
                              <m:nor/>
                              <m:sty m:val="p"/>
                            </m:rPr>
                            <w:rPr>
                              <w:rFonts w:ascii="Times New Roman" w:hAnsi="Times New Roman"/>
                              <w:b w:val="0"/>
                              <w:i w:val="0"/>
                            </w:rPr>
                            <m:t>-</m:t>
                          </m:r>
                          <m:acc>
                            <m:accPr>
                              <m:chr m:val="̅"/>
                              <m:ctrlPr>
                                <w:rPr>
                                  <w:rFonts w:ascii="Cambria Math" w:hAnsi="Cambria Math"/>
                                </w:rPr>
                              </m:ctrlPr>
                            </m:accPr>
                            <m:e>
                              <m:sSub>
                                <m:sSubPr>
                                  <m:ctrlPr>
                                    <w:rPr>
                                      <w:rFonts w:ascii="Cambria Math" w:hAnsi="Cambria Math"/>
                                      <w:i/>
                                    </w:rPr>
                                  </m:ctrlPr>
                                </m:sSubPr>
                                <m:e>
                                  <m:r>
                                    <m:rPr>
                                      <m:nor/>
                                    </m:rPr>
                                    <w:rPr>
                                      <w:rFonts w:ascii="Times New Roman" w:hAnsi="Times New Roman"/>
                                      <w:i/>
                                    </w:rPr>
                                    <m:t>C</m:t>
                                  </m:r>
                                  <m:ctrlPr>
                                    <w:rPr>
                                      <w:rFonts w:ascii="Cambria Math" w:hAnsi="Cambria Math"/>
                                      <w:i/>
                                    </w:rPr>
                                  </m:ctrlPr>
                                </m:e>
                                <m:sub>
                                  <m:r>
                                    <m:rPr>
                                      <m:nor/>
                                      <m:sty m:val="p"/>
                                    </m:rPr>
                                    <w:rPr>
                                      <w:rFonts w:ascii="Times New Roman" w:hAnsi="Times New Roman"/>
                                      <w:b w:val="0"/>
                                      <w:i w:val="0"/>
                                    </w:rPr>
                                    <m:t>0</m:t>
                                  </m:r>
                                  <m:ctrlPr>
                                    <w:rPr>
                                      <w:rFonts w:ascii="Cambria Math" w:hAnsi="Cambria Math"/>
                                      <w:i/>
                                    </w:rPr>
                                  </m:ctrlPr>
                                </m:sub>
                              </m:sSub>
                              <m:ctrlPr>
                                <w:rPr>
                                  <w:rFonts w:ascii="Cambria Math" w:hAnsi="Cambria Math"/>
                                </w:rPr>
                              </m:ctrlPr>
                            </m:e>
                          </m:acc>
                          <m:r>
                            <m:rPr>
                              <m:nor/>
                              <m:sty m:val="p"/>
                            </m:rPr>
                            <w:rPr>
                              <w:rFonts w:ascii="Times New Roman" w:hAnsi="Times New Roman"/>
                              <w:b w:val="0"/>
                              <w:i w:val="0"/>
                            </w:rPr>
                            <m:t>)</m:t>
                          </m:r>
                          <m:ctrlPr>
                            <w:rPr>
                              <w:rFonts w:ascii="Cambria Math" w:hAnsi="Cambria Math"/>
                              <w:i/>
                            </w:rPr>
                          </m:ctrlPr>
                        </m:e>
                        <m:sup>
                          <m:r>
                            <m:rPr>
                              <m:nor/>
                              <m:sty m:val="p"/>
                            </m:rPr>
                            <w:rPr>
                              <w:rFonts w:ascii="Times New Roman" w:hAnsi="Times New Roman"/>
                              <w:b w:val="0"/>
                              <w:i w:val="0"/>
                            </w:rPr>
                            <m:t>2</m:t>
                          </m:r>
                          <m:ctrlPr>
                            <w:rPr>
                              <w:rFonts w:ascii="Cambria Math" w:hAnsi="Cambria Math"/>
                              <w:i/>
                            </w:rPr>
                          </m:ctrlPr>
                        </m:sup>
                      </m:sSup>
                      <m:ctrlPr>
                        <w:rPr>
                          <w:rFonts w:ascii="Cambria Math" w:hAnsi="Cambria Math"/>
                          <w:i/>
                        </w:rPr>
                      </m:ctrlPr>
                    </m:e>
                  </m:nary>
                  <m:ctrlPr>
                    <w:rPr>
                      <w:rFonts w:ascii="Cambria Math" w:hAnsi="Cambria Math"/>
                    </w:rPr>
                  </m:ctrlPr>
                </m:den>
              </m:f>
              <m:ctrlPr>
                <w:rPr>
                  <w:rFonts w:ascii="Cambria Math" w:hAnsi="Cambria Math"/>
                  <w:i/>
                </w:rPr>
              </m:ctrlPr>
            </m:e>
          </m:rad>
          <m:r>
            <m:rPr>
              <m:nor/>
              <m:sty m:val="p"/>
            </m:rPr>
            <w:rPr>
              <w:rFonts w:ascii="Times New Roman" w:hAnsi="Times New Roman"/>
              <w:b w:val="0"/>
              <w:i w:val="0"/>
            </w:rPr>
            <m:t>=0.0005064</m:t>
          </m:r>
          <m:r>
            <m:rPr>
              <m:nor/>
            </m:rPr>
            <w:rPr>
              <w:rFonts w:ascii="Times New Roman" w:hAnsi="Times New Roman"/>
              <w:i/>
            </w:rPr>
            <m:t>ug</m:t>
          </m:r>
          <m:r>
            <m:rPr>
              <m:nor/>
              <m:sty m:val="p"/>
            </m:rPr>
            <w:rPr>
              <w:rFonts w:ascii="Times New Roman" w:hAnsi="Times New Roman"/>
              <w:b w:val="0"/>
              <w:i w:val="0"/>
            </w:rPr>
            <m:t>/</m:t>
          </m:r>
          <m:r>
            <m:rPr>
              <m:nor/>
            </m:rPr>
            <w:rPr>
              <w:rFonts w:ascii="Times New Roman" w:hAnsi="Times New Roman"/>
              <w:i/>
            </w:rPr>
            <m:t>mL</m:t>
          </m:r>
        </m:oMath>
      </m:oMathPara>
    </w:p>
    <w:p w14:paraId="2DDAA912">
      <w:pPr>
        <w:spacing w:line="360" w:lineRule="auto"/>
        <w:ind w:firstLine="420"/>
        <w:rPr>
          <w:rFonts w:ascii="Times New Roman" w:hAnsi="Times New Roman"/>
          <w:bCs/>
        </w:rPr>
      </w:pPr>
      <w:r>
        <w:rPr>
          <w:rFonts w:ascii="Times New Roman" w:hAnsi="Times New Roman"/>
          <w:bCs/>
        </w:rPr>
        <w:t>标准曲线带来的相对不确定度：</w:t>
      </w:r>
    </w:p>
    <w:p w14:paraId="396632C6">
      <w:pPr>
        <w:spacing w:line="360" w:lineRule="auto"/>
        <w:ind w:firstLine="420"/>
        <w:rPr>
          <w:rFonts w:ascii="Times New Roman" w:hAnsi="Times New Roman"/>
        </w:rPr>
      </w:pPr>
      <m:oMathPara>
        <m:oMath>
          <m:sSub>
            <m:sSubPr>
              <m:ctrlPr>
                <w:rPr>
                  <w:rFonts w:ascii="Cambria Math" w:hAnsi="Cambria Math"/>
                  <w:i/>
                </w:rPr>
              </m:ctrlPr>
            </m:sSubPr>
            <m:e>
              <m:r>
                <m:rPr>
                  <m:nor/>
                </m:rPr>
                <w:rPr>
                  <w:rFonts w:ascii="Times New Roman" w:hAnsi="Times New Roman"/>
                  <w:i/>
                </w:rPr>
                <m:t>u</m:t>
              </m:r>
              <m:ctrlPr>
                <w:rPr>
                  <w:rFonts w:ascii="Cambria Math" w:hAnsi="Cambria Math"/>
                  <w:i/>
                </w:rPr>
              </m:ctrlPr>
            </m:e>
            <m:sub>
              <m:r>
                <m:rPr>
                  <m:nor/>
                  <m:sty m:val="p"/>
                </m:rPr>
                <w:rPr>
                  <w:rFonts w:ascii="Times New Roman" w:hAnsi="Times New Roman"/>
                  <w:b w:val="0"/>
                  <w:i w:val="0"/>
                </w:rPr>
                <m:t>4，rel</m:t>
              </m:r>
              <m:ctrlPr>
                <w:rPr>
                  <w:rFonts w:ascii="Cambria Math" w:hAnsi="Cambria Math"/>
                  <w:i/>
                </w:rPr>
              </m:ctrlPr>
            </m:sub>
          </m:sSub>
          <m:r>
            <m:rPr>
              <m:nor/>
              <m:sty m:val="p"/>
            </m:rPr>
            <w:rPr>
              <w:rFonts w:ascii="Times New Roman" w:hAnsi="Times New Roman"/>
              <w:b w:val="0"/>
              <w:i w:val="0"/>
            </w:rPr>
            <m:t>=</m:t>
          </m:r>
          <m:f>
            <m:fPr>
              <m:ctrlPr>
                <w:rPr>
                  <w:rFonts w:ascii="Cambria Math" w:hAnsi="Cambria Math"/>
                  <w:i/>
                </w:rPr>
              </m:ctrlPr>
            </m:fPr>
            <m:num>
              <m:sSub>
                <m:sSubPr>
                  <m:ctrlPr>
                    <w:rPr>
                      <w:rFonts w:ascii="Cambria Math" w:hAnsi="Cambria Math"/>
                      <w:i/>
                    </w:rPr>
                  </m:ctrlPr>
                </m:sSubPr>
                <m:e>
                  <m:r>
                    <m:rPr>
                      <m:nor/>
                    </m:rPr>
                    <w:rPr>
                      <w:rFonts w:ascii="Times New Roman" w:hAnsi="Times New Roman"/>
                      <w:i/>
                    </w:rPr>
                    <m:t>u</m:t>
                  </m:r>
                  <m:ctrlPr>
                    <w:rPr>
                      <w:rFonts w:ascii="Cambria Math" w:hAnsi="Cambria Math"/>
                      <w:i/>
                    </w:rPr>
                  </m:ctrlPr>
                </m:e>
                <m:sub>
                  <m:r>
                    <m:rPr>
                      <m:nor/>
                      <m:sty m:val="p"/>
                    </m:rPr>
                    <w:rPr>
                      <w:rFonts w:ascii="Times New Roman" w:hAnsi="Times New Roman"/>
                      <w:b w:val="0"/>
                      <w:i w:val="0"/>
                    </w:rPr>
                    <m:t>4</m:t>
                  </m:r>
                  <m:ctrlPr>
                    <w:rPr>
                      <w:rFonts w:ascii="Cambria Math" w:hAnsi="Cambria Math"/>
                      <w:i/>
                    </w:rPr>
                  </m:ctrlPr>
                </m:sub>
              </m:sSub>
              <m:d>
                <m:dPr>
                  <m:begChr m:val="（"/>
                  <m:endChr m:val="）"/>
                  <m:ctrlPr>
                    <w:rPr>
                      <w:rFonts w:ascii="Cambria Math" w:hAnsi="Cambria Math"/>
                      <w:i/>
                    </w:rPr>
                  </m:ctrlPr>
                </m:dPr>
                <m:e>
                  <m:r>
                    <m:rPr>
                      <m:nor/>
                    </m:rPr>
                    <w:rPr>
                      <w:rFonts w:ascii="Times New Roman" w:hAnsi="Times New Roman"/>
                      <w:i/>
                    </w:rPr>
                    <m:t>C</m:t>
                  </m:r>
                  <m:ctrlPr>
                    <w:rPr>
                      <w:rFonts w:ascii="Cambria Math" w:hAnsi="Cambria Math"/>
                      <w:i/>
                    </w:rPr>
                  </m:ctrlPr>
                </m:e>
              </m:d>
              <m:ctrlPr>
                <w:rPr>
                  <w:rFonts w:ascii="Cambria Math" w:hAnsi="Cambria Math"/>
                  <w:i/>
                </w:rPr>
              </m:ctrlPr>
            </m:num>
            <m:den>
              <m:acc>
                <m:accPr>
                  <m:chr m:val="̅"/>
                  <m:ctrlPr>
                    <w:rPr>
                      <w:rFonts w:ascii="Cambria Math" w:hAnsi="Cambria Math"/>
                      <w:bCs/>
                    </w:rPr>
                  </m:ctrlPr>
                </m:accPr>
                <m:e>
                  <m:r>
                    <m:rPr>
                      <m:nor/>
                    </m:rPr>
                    <w:rPr>
                      <w:rFonts w:ascii="Times New Roman" w:hAnsi="Times New Roman"/>
                      <w:i/>
                    </w:rPr>
                    <m:t>C</m:t>
                  </m:r>
                  <m:ctrlPr>
                    <w:rPr>
                      <w:rFonts w:ascii="Cambria Math" w:hAnsi="Cambria Math"/>
                      <w:bCs/>
                    </w:rPr>
                  </m:ctrlPr>
                </m:e>
              </m:acc>
              <m:ctrlPr>
                <w:rPr>
                  <w:rFonts w:ascii="Cambria Math" w:hAnsi="Cambria Math"/>
                  <w:i/>
                </w:rPr>
              </m:ctrlPr>
            </m:den>
          </m:f>
          <m:r>
            <m:rPr>
              <m:nor/>
              <m:sty m:val="p"/>
            </m:rPr>
            <w:rPr>
              <w:rFonts w:ascii="Times New Roman" w:hAnsi="Times New Roman"/>
              <w:b w:val="0"/>
              <w:i w:val="0"/>
            </w:rPr>
            <m:t>=</m:t>
          </m:r>
          <m:f>
            <m:fPr>
              <m:ctrlPr>
                <w:rPr>
                  <w:rFonts w:ascii="Cambria Math" w:hAnsi="Cambria Math"/>
                  <w:i/>
                </w:rPr>
              </m:ctrlPr>
            </m:fPr>
            <m:num>
              <m:r>
                <m:rPr>
                  <m:nor/>
                  <m:sty m:val="p"/>
                </m:rPr>
                <w:rPr>
                  <w:rFonts w:ascii="Times New Roman" w:hAnsi="Times New Roman"/>
                  <w:b w:val="0"/>
                  <w:i w:val="0"/>
                </w:rPr>
                <m:t>0.0005064</m:t>
              </m:r>
              <m:ctrlPr>
                <w:rPr>
                  <w:rFonts w:ascii="Cambria Math" w:hAnsi="Cambria Math"/>
                  <w:i/>
                </w:rPr>
              </m:ctrlPr>
            </m:num>
            <m:den>
              <m:r>
                <m:rPr>
                  <m:nor/>
                  <m:sty m:val="p"/>
                </m:rPr>
                <w:rPr>
                  <w:rFonts w:ascii="Times New Roman" w:hAnsi="Times New Roman"/>
                  <w:b w:val="0"/>
                  <w:i w:val="0"/>
                </w:rPr>
                <m:t>0.041</m:t>
              </m:r>
              <m:ctrlPr>
                <w:rPr>
                  <w:rFonts w:ascii="Cambria Math" w:hAnsi="Cambria Math"/>
                  <w:i/>
                </w:rPr>
              </m:ctrlPr>
            </m:den>
          </m:f>
          <m:r>
            <m:rPr>
              <m:nor/>
              <m:sty m:val="p"/>
            </m:rPr>
            <w:rPr>
              <w:rFonts w:ascii="Times New Roman" w:hAnsi="Times New Roman"/>
              <w:b w:val="0"/>
              <w:i w:val="0"/>
            </w:rPr>
            <m:t>=1.235%</m:t>
          </m:r>
        </m:oMath>
      </m:oMathPara>
    </w:p>
    <w:p w14:paraId="123921D8">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.8.1.</w:t>
      </w:r>
      <w:r>
        <w:rPr>
          <w:rFonts w:hint="eastAsia" w:ascii="Times New Roman" w:hAnsi="Times New Roman" w:eastAsia="黑体"/>
          <w:spacing w:val="-6"/>
        </w:rPr>
        <w:t>3</w:t>
      </w:r>
      <w:r>
        <w:rPr>
          <w:rFonts w:ascii="Times New Roman" w:hAnsi="Times New Roman" w:eastAsia="黑体"/>
          <w:spacing w:val="-6"/>
        </w:rPr>
        <w:t xml:space="preserve"> 合成B类不确定度</w:t>
      </w:r>
      <m:oMath>
        <m:sSub>
          <m:sSubPr>
            <m:ctrlPr>
              <w:rPr>
                <w:rFonts w:ascii="Cambria Math" w:hAnsi="Cambria Math" w:eastAsia="黑体"/>
                <w:spacing w:val="-6"/>
              </w:rPr>
            </m:ctrlPr>
          </m:sSubPr>
          <m:e>
            <m:r>
              <m:rPr>
                <m:sty m:val="p"/>
              </m:rPr>
              <w:rPr>
                <w:rFonts w:ascii="Cambria Math" w:hAnsi="Cambria Math" w:eastAsia="黑体"/>
                <w:spacing w:val="-6"/>
              </w:rPr>
              <m:t>u</m:t>
            </m:r>
            <m:ctrlPr>
              <w:rPr>
                <w:rFonts w:ascii="Cambria Math" w:hAnsi="Cambria Math" w:eastAsia="黑体"/>
                <w:spacing w:val="-6"/>
              </w:rPr>
            </m:ctrlPr>
          </m:e>
          <m:sub>
            <m:r>
              <m:rPr>
                <m:sty m:val="p"/>
              </m:rPr>
              <w:rPr>
                <w:rFonts w:ascii="Cambria Math" w:hAnsi="Cambria Math" w:eastAsia="黑体"/>
                <w:spacing w:val="-6"/>
              </w:rPr>
              <m:t>B</m:t>
            </m:r>
            <m:ctrlPr>
              <w:rPr>
                <w:rFonts w:ascii="Cambria Math" w:hAnsi="Cambria Math" w:eastAsia="黑体"/>
                <w:spacing w:val="-6"/>
              </w:rPr>
            </m:ctrlPr>
          </m:sub>
        </m:sSub>
      </m:oMath>
    </w:p>
    <w:p w14:paraId="606DC086">
      <w:pPr>
        <w:spacing w:line="360" w:lineRule="auto"/>
        <w:ind w:firstLine="420"/>
        <w:rPr>
          <w:rFonts w:ascii="Times New Roman" w:hAnsi="Times New Roman"/>
        </w:rPr>
      </w:pPr>
      <w:r>
        <w:rPr>
          <w:rFonts w:ascii="Times New Roman" w:hAnsi="Times New Roman"/>
        </w:rPr>
        <w:t>乳粉中DHA的不确定度：</w:t>
      </w:r>
    </w:p>
    <w:p w14:paraId="577D1381">
      <w:pPr>
        <w:spacing w:line="360" w:lineRule="auto"/>
        <w:ind w:firstLine="420"/>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B,rel</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1,rel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2,rel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3,rel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4,rel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=1.423%</m:t>
          </m:r>
        </m:oMath>
      </m:oMathPara>
    </w:p>
    <w:p w14:paraId="102F5917">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bookmarkStart w:id="66" w:name="_Toc50997483"/>
      <w:r>
        <w:rPr>
          <w:rFonts w:hint="eastAsia" w:ascii="Times New Roman" w:hAnsi="Times New Roman" w:eastAsia="黑体"/>
          <w:spacing w:val="-6"/>
        </w:rPr>
        <w:t>D</w:t>
      </w:r>
      <w:r>
        <w:rPr>
          <w:rFonts w:ascii="Times New Roman" w:hAnsi="Times New Roman" w:eastAsia="黑体"/>
          <w:spacing w:val="-6"/>
        </w:rPr>
        <w:t>.8.1.</w:t>
      </w:r>
      <w:r>
        <w:rPr>
          <w:rFonts w:hint="eastAsia" w:ascii="Times New Roman" w:hAnsi="Times New Roman" w:eastAsia="黑体"/>
          <w:spacing w:val="-6"/>
        </w:rPr>
        <w:t>4</w:t>
      </w:r>
      <w:r>
        <w:rPr>
          <w:rFonts w:ascii="Times New Roman" w:hAnsi="Times New Roman" w:eastAsia="黑体"/>
          <w:spacing w:val="-6"/>
        </w:rPr>
        <w:t xml:space="preserve"> 定值引入的不确定度</w:t>
      </w:r>
      <w:bookmarkEnd w:id="66"/>
    </w:p>
    <w:p w14:paraId="2E4659E8">
      <w:pPr>
        <w:spacing w:line="360" w:lineRule="auto"/>
        <w:ind w:firstLine="420"/>
        <w:rPr>
          <w:rFonts w:ascii="Times New Roman" w:hAnsi="Times New Roman"/>
        </w:rPr>
      </w:pPr>
      <w:r>
        <w:rPr>
          <w:rFonts w:ascii="Times New Roman" w:hAnsi="Times New Roman"/>
        </w:rPr>
        <w:t>乳粉中DHA：</w:t>
      </w:r>
    </w:p>
    <w:p w14:paraId="6A8631F1">
      <w:pPr>
        <w:spacing w:line="360" w:lineRule="auto"/>
        <w:ind w:firstLine="420"/>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char,rel</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A,rel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B,rel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r>
                    <m:rPr>
                      <m:nor/>
                      <m:sty m:val="p"/>
                    </m:rPr>
                    <w:rPr>
                      <w:rFonts w:ascii="Times New Roman" w:hAnsi="Times New Roman"/>
                      <w:b w:val="0"/>
                      <w:i w:val="0"/>
                    </w:rPr>
                    <m:t>(1.141%)</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(1.423%)</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=2.004%</m:t>
          </m:r>
        </m:oMath>
      </m:oMathPara>
    </w:p>
    <w:p w14:paraId="2D8EDDB6">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bookmarkStart w:id="67" w:name="_Toc50997484"/>
      <w:r>
        <w:rPr>
          <w:rFonts w:hint="eastAsia" w:ascii="Times New Roman" w:hAnsi="Times New Roman" w:eastAsia="黑体"/>
          <w:spacing w:val="-6"/>
        </w:rPr>
        <w:t>D</w:t>
      </w:r>
      <w:r>
        <w:rPr>
          <w:rFonts w:ascii="Times New Roman" w:hAnsi="Times New Roman" w:eastAsia="黑体"/>
          <w:spacing w:val="-6"/>
        </w:rPr>
        <w:t>.8.</w:t>
      </w:r>
      <w:r>
        <w:rPr>
          <w:rFonts w:hint="eastAsia" w:ascii="Times New Roman" w:hAnsi="Times New Roman" w:eastAsia="黑体"/>
          <w:spacing w:val="-6"/>
        </w:rPr>
        <w:t>2</w:t>
      </w:r>
      <w:r>
        <w:rPr>
          <w:rFonts w:ascii="Times New Roman" w:hAnsi="Times New Roman" w:eastAsia="黑体"/>
          <w:spacing w:val="-6"/>
        </w:rPr>
        <w:t xml:space="preserve"> 不均匀性引入的不确定度</w:t>
      </w:r>
      <w:bookmarkEnd w:id="67"/>
    </w:p>
    <w:p w14:paraId="0B552875">
      <w:pPr>
        <w:spacing w:line="360" w:lineRule="auto"/>
        <w:ind w:firstLine="420"/>
        <w:rPr>
          <w:rFonts w:ascii="Times New Roman" w:hAnsi="Times New Roman"/>
        </w:rPr>
      </w:pPr>
      <w:r>
        <w:rPr>
          <w:rFonts w:ascii="Times New Roman" w:hAnsi="Times New Roman"/>
        </w:rPr>
        <w:t>乳粉中DHA：</w:t>
      </w:r>
    </w:p>
    <w:p w14:paraId="45CCD971">
      <w:pPr>
        <w:spacing w:line="360" w:lineRule="auto"/>
        <w:ind w:firstLine="420"/>
        <w:rPr>
          <w:rFonts w:ascii="Times New Roman" w:hAnsi="Times New Roman"/>
        </w:rPr>
      </w:pPr>
      <m:oMathPara>
        <m:oMath>
          <m:sSubSup>
            <m:sSubSupPr>
              <m:ctrlPr>
                <w:rPr>
                  <w:rFonts w:ascii="Cambria Math" w:hAnsi="Cambria Math"/>
                </w:rPr>
              </m:ctrlPr>
            </m:sSubSupPr>
            <m:e>
              <m:r>
                <m:rPr>
                  <m:nor/>
                </m:rPr>
                <w:rPr>
                  <w:rFonts w:ascii="Times New Roman" w:hAnsi="Times New Roman"/>
                  <w:i/>
                </w:rPr>
                <m:t>S</m:t>
              </m:r>
              <m:ctrlPr>
                <w:rPr>
                  <w:rFonts w:ascii="Cambria Math" w:hAnsi="Cambria Math"/>
                </w:rPr>
              </m:ctrlPr>
            </m:e>
            <m:sub>
              <m:r>
                <m:rPr>
                  <m:nor/>
                  <m:sty m:val="p"/>
                </m:rPr>
                <w:rPr>
                  <w:rFonts w:ascii="Times New Roman" w:hAnsi="Times New Roman"/>
                  <w:b w:val="0"/>
                  <w:i w:val="0"/>
                </w:rPr>
                <m:t>H</m:t>
              </m:r>
              <m:ctrlPr>
                <w:rPr>
                  <w:rFonts w:ascii="Cambria Math" w:hAnsi="Cambria Math"/>
                </w:rPr>
              </m:ctrlPr>
            </m:sub>
            <m:sup>
              <m:r>
                <m:rPr>
                  <m:nor/>
                  <m:sty m:val="p"/>
                </m:rPr>
                <w:rPr>
                  <w:rFonts w:ascii="Times New Roman" w:hAnsi="Times New Roman"/>
                  <w:b w:val="0"/>
                  <w:i w:val="0"/>
                </w:rPr>
                <m:t>2</m:t>
              </m:r>
              <m:ctrlPr>
                <w:rPr>
                  <w:rFonts w:ascii="Cambria Math" w:hAnsi="Cambria Math"/>
                </w:rPr>
              </m:ctrlPr>
            </m:sup>
          </m:sSubSup>
          <m:r>
            <m:rPr>
              <m:nor/>
              <m:sty m:val="p"/>
            </m:rPr>
            <w:rPr>
              <w:rFonts w:ascii="Times New Roman" w:hAnsi="Times New Roman"/>
              <w:b w:val="0"/>
              <w:i w:val="0"/>
            </w:rPr>
            <m:t>=</m:t>
          </m:r>
          <m:f>
            <m:fPr>
              <m:ctrlPr>
                <w:rPr>
                  <w:rFonts w:ascii="Cambria Math" w:hAnsi="Cambria Math"/>
                </w:rPr>
              </m:ctrlPr>
            </m:fPr>
            <m:num>
              <m:sSubSup>
                <m:sSubSupPr>
                  <m:ctrlPr>
                    <w:rPr>
                      <w:rFonts w:ascii="Cambria Math" w:hAnsi="Cambria Math"/>
                    </w:rPr>
                  </m:ctrlPr>
                </m:sSubSupPr>
                <m:e>
                  <m:r>
                    <m:rPr>
                      <m:nor/>
                    </m:rPr>
                    <w:rPr>
                      <w:rFonts w:ascii="Times New Roman" w:hAnsi="Times New Roman"/>
                      <w:i/>
                    </w:rPr>
                    <m:t>S</m:t>
                  </m:r>
                  <m:ctrlPr>
                    <w:rPr>
                      <w:rFonts w:ascii="Cambria Math" w:hAnsi="Cambria Math"/>
                    </w:rPr>
                  </m:ctrlPr>
                </m:e>
                <m:sub>
                  <m:r>
                    <m:rPr>
                      <m:nor/>
                      <m:sty m:val="p"/>
                    </m:rPr>
                    <w:rPr>
                      <w:rFonts w:ascii="Times New Roman" w:hAnsi="Times New Roman"/>
                      <w:b w:val="0"/>
                      <w:i w:val="0"/>
                    </w:rPr>
                    <m:t>1</m:t>
                  </m:r>
                  <m:ctrlPr>
                    <w:rPr>
                      <w:rFonts w:ascii="Cambria Math" w:hAnsi="Cambria Math"/>
                    </w:rPr>
                  </m:ctrlPr>
                </m:sub>
                <m:sup>
                  <m:r>
                    <m:rPr>
                      <m:nor/>
                      <m:sty m:val="p"/>
                    </m:rPr>
                    <w:rPr>
                      <w:rFonts w:ascii="Times New Roman" w:hAnsi="Times New Roman"/>
                      <w:b w:val="0"/>
                      <w:i w:val="0"/>
                    </w:rPr>
                    <m:t>2</m:t>
                  </m:r>
                  <m:ctrlPr>
                    <w:rPr>
                      <w:rFonts w:ascii="Cambria Math" w:hAnsi="Cambria Math"/>
                    </w:rPr>
                  </m:ctrlPr>
                </m:sup>
              </m:sSubSup>
              <m:r>
                <m:rPr>
                  <m:nor/>
                  <m:sty m:val="p"/>
                </m:rPr>
                <w:rPr>
                  <w:rFonts w:ascii="Times New Roman" w:hAnsi="Times New Roman"/>
                  <w:b w:val="0"/>
                  <w:i w:val="0"/>
                </w:rPr>
                <m:t>-</m:t>
              </m:r>
              <m:sSubSup>
                <m:sSubSupPr>
                  <m:ctrlPr>
                    <w:rPr>
                      <w:rFonts w:ascii="Cambria Math" w:hAnsi="Cambria Math"/>
                    </w:rPr>
                  </m:ctrlPr>
                </m:sSubSupPr>
                <m:e>
                  <m:r>
                    <m:rPr>
                      <m:nor/>
                    </m:rPr>
                    <w:rPr>
                      <w:rFonts w:ascii="Times New Roman" w:hAnsi="Times New Roman"/>
                      <w:i/>
                    </w:rPr>
                    <m:t>S</m:t>
                  </m:r>
                  <m:ctrlPr>
                    <w:rPr>
                      <w:rFonts w:ascii="Cambria Math" w:hAnsi="Cambria Math"/>
                    </w:rPr>
                  </m:ctrlPr>
                </m:e>
                <m:sub>
                  <m:r>
                    <m:rPr>
                      <m:nor/>
                      <m:sty m:val="p"/>
                    </m:rPr>
                    <w:rPr>
                      <w:rFonts w:ascii="Times New Roman" w:hAnsi="Times New Roman"/>
                      <w:b w:val="0"/>
                      <w:i w:val="0"/>
                    </w:rPr>
                    <m:t>2</m:t>
                  </m:r>
                  <m:ctrlPr>
                    <w:rPr>
                      <w:rFonts w:ascii="Cambria Math" w:hAnsi="Cambria Math"/>
                    </w:rPr>
                  </m:ctrlPr>
                </m:sub>
                <m:sup>
                  <m:r>
                    <m:rPr>
                      <m:nor/>
                      <m:sty m:val="p"/>
                    </m:rPr>
                    <w:rPr>
                      <w:rFonts w:ascii="Times New Roman" w:hAnsi="Times New Roman"/>
                      <w:b w:val="0"/>
                      <w:i w:val="0"/>
                    </w:rPr>
                    <m:t>2</m:t>
                  </m:r>
                  <m:ctrlPr>
                    <w:rPr>
                      <w:rFonts w:ascii="Cambria Math" w:hAnsi="Cambria Math"/>
                    </w:rPr>
                  </m:ctrlPr>
                </m:sup>
              </m:sSubSup>
              <m:ctrlPr>
                <w:rPr>
                  <w:rFonts w:ascii="Cambria Math" w:hAnsi="Cambria Math"/>
                </w:rPr>
              </m:ctrlPr>
            </m:num>
            <m:den>
              <m:r>
                <m:rPr>
                  <m:nor/>
                </m:rPr>
                <w:rPr>
                  <w:rFonts w:ascii="Times New Roman" w:hAnsi="Times New Roman"/>
                  <w:i/>
                </w:rPr>
                <m:t>n</m:t>
              </m:r>
              <m:ctrlPr>
                <w:rPr>
                  <w:rFonts w:ascii="Cambria Math" w:hAnsi="Cambria Math"/>
                </w:rPr>
              </m:ctrlPr>
            </m:den>
          </m:f>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0.000007397-0.000004680</m:t>
              </m:r>
              <m:ctrlPr>
                <w:rPr>
                  <w:rFonts w:ascii="Cambria Math" w:hAnsi="Cambria Math"/>
                </w:rPr>
              </m:ctrlPr>
            </m:num>
            <m:den>
              <m:r>
                <m:rPr>
                  <m:nor/>
                  <m:sty m:val="p"/>
                </m:rPr>
                <w:rPr>
                  <w:rFonts w:ascii="Times New Roman" w:hAnsi="Times New Roman"/>
                  <w:b w:val="0"/>
                  <w:i w:val="0"/>
                </w:rPr>
                <m:t>3</m:t>
              </m:r>
              <m:ctrlPr>
                <w:rPr>
                  <w:rFonts w:ascii="Cambria Math" w:hAnsi="Cambria Math"/>
                </w:rPr>
              </m:ctrlPr>
            </m:den>
          </m:f>
          <m:r>
            <m:rPr>
              <m:nor/>
              <m:sty m:val="p"/>
            </m:rPr>
            <w:rPr>
              <w:rFonts w:ascii="Times New Roman" w:hAnsi="Times New Roman"/>
              <w:b w:val="0"/>
              <w:i w:val="0"/>
            </w:rPr>
            <m:t>=0.0000009060</m:t>
          </m:r>
        </m:oMath>
      </m:oMathPara>
    </w:p>
    <w:p w14:paraId="5CFD9F6A">
      <w:pPr>
        <w:spacing w:line="360" w:lineRule="auto"/>
        <w:ind w:firstLine="420"/>
        <w:rPr>
          <w:rFonts w:ascii="Times New Roman" w:hAnsi="Times New Roman"/>
        </w:rPr>
      </w:pPr>
      <m:oMathPara>
        <m:oMath>
          <m:sSub>
            <m:sSubPr>
              <m:ctrlPr>
                <w:rPr>
                  <w:rFonts w:ascii="Cambria Math" w:hAnsi="Cambria Math"/>
                </w:rPr>
              </m:ctrlPr>
            </m:sSubPr>
            <m:e>
              <m:r>
                <m:rPr>
                  <m:nor/>
                  <m:sty m:val="p"/>
                </m:rPr>
                <w:rPr>
                  <w:rFonts w:ascii="Times New Roman" w:hAnsi="Times New Roman"/>
                  <w:b w:val="0"/>
                  <w:i w:val="0"/>
                </w:rPr>
                <m:t>S</m:t>
              </m:r>
              <m:ctrlPr>
                <w:rPr>
                  <w:rFonts w:ascii="Cambria Math" w:hAnsi="Cambria Math"/>
                </w:rPr>
              </m:ctrlPr>
            </m:e>
            <m:sub>
              <m:r>
                <m:rPr>
                  <m:nor/>
                  <m:sty m:val="p"/>
                </m:rPr>
                <w:rPr>
                  <w:rFonts w:ascii="Times New Roman" w:hAnsi="Times New Roman"/>
                  <w:b w:val="0"/>
                  <w:i w:val="0"/>
                </w:rPr>
                <m:t>H</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r>
                <m:rPr>
                  <m:nor/>
                  <m:sty m:val="p"/>
                </m:rPr>
                <w:rPr>
                  <w:rFonts w:ascii="Times New Roman" w:hAnsi="Times New Roman"/>
                  <w:b w:val="0"/>
                  <w:i w:val="0"/>
                </w:rPr>
                <m:t>0.0000009060</m:t>
              </m:r>
              <m:ctrlPr>
                <w:rPr>
                  <w:rFonts w:ascii="Cambria Math" w:hAnsi="Cambria Math"/>
                </w:rPr>
              </m:ctrlPr>
            </m:e>
          </m:rad>
          <m:r>
            <m:rPr>
              <m:nor/>
              <m:sty m:val="p"/>
            </m:rPr>
            <w:rPr>
              <w:rFonts w:ascii="Times New Roman" w:hAnsi="Times New Roman"/>
              <w:b w:val="0"/>
              <w:i w:val="0"/>
            </w:rPr>
            <m:t>=0.0009518</m:t>
          </m:r>
        </m:oMath>
      </m:oMathPara>
    </w:p>
    <w:p w14:paraId="3B307018">
      <w:pPr>
        <w:spacing w:line="360" w:lineRule="auto"/>
        <w:ind w:firstLine="420"/>
        <w:rPr>
          <w:rFonts w:ascii="Times New Roman" w:hAnsi="Times New Roman"/>
        </w:rPr>
      </w:pPr>
      <w:r>
        <w:rPr>
          <w:rFonts w:ascii="Times New Roman" w:hAnsi="Times New Roman"/>
        </w:rPr>
        <w:t>均匀引入的相对不确定为</w:t>
      </w:r>
    </w:p>
    <w:p w14:paraId="2113901B">
      <w:pPr>
        <w:spacing w:line="360" w:lineRule="auto"/>
        <w:ind w:firstLine="420"/>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bb,rel</m:t>
              </m:r>
              <m:ctrlPr>
                <w:rPr>
                  <w:rFonts w:ascii="Cambria Math" w:hAnsi="Cambria Math"/>
                </w:rPr>
              </m:ctrlPr>
            </m:sub>
          </m:sSub>
          <m:r>
            <m:rPr>
              <m:nor/>
              <m:sty m:val="p"/>
            </m:rPr>
            <w:rPr>
              <w:rFonts w:ascii="Times New Roman" w:hAnsi="Times New Roman"/>
              <w:b w:val="0"/>
              <w:i w:val="0"/>
            </w:rPr>
            <m:t>=</m:t>
          </m:r>
          <m:f>
            <m:fPr>
              <m:ctrlPr>
                <w:rPr>
                  <w:rFonts w:ascii="Cambria Math" w:hAnsi="Cambria Math"/>
                </w:rPr>
              </m:ctrlPr>
            </m:fPr>
            <m:num>
              <m:sSub>
                <m:sSubPr>
                  <m:ctrlPr>
                    <w:rPr>
                      <w:rFonts w:ascii="Cambria Math" w:hAnsi="Cambria Math"/>
                    </w:rPr>
                  </m:ctrlPr>
                </m:sSubPr>
                <m:e>
                  <m:r>
                    <m:rPr>
                      <m:nor/>
                      <m:sty m:val="p"/>
                    </m:rPr>
                    <w:rPr>
                      <w:rFonts w:ascii="Times New Roman" w:hAnsi="Times New Roman"/>
                      <w:b w:val="0"/>
                      <w:i w:val="0"/>
                    </w:rPr>
                    <m:t>S</m:t>
                  </m:r>
                  <m:ctrlPr>
                    <w:rPr>
                      <w:rFonts w:ascii="Cambria Math" w:hAnsi="Cambria Math"/>
                    </w:rPr>
                  </m:ctrlPr>
                </m:e>
                <m:sub>
                  <m:r>
                    <m:rPr>
                      <m:nor/>
                      <m:sty m:val="p"/>
                    </m:rPr>
                    <w:rPr>
                      <w:rFonts w:ascii="Times New Roman" w:hAnsi="Times New Roman"/>
                      <w:b w:val="0"/>
                      <w:i w:val="0"/>
                    </w:rPr>
                    <m:t>H</m:t>
                  </m:r>
                  <m:ctrlPr>
                    <w:rPr>
                      <w:rFonts w:ascii="Cambria Math" w:hAnsi="Cambria Math"/>
                    </w:rPr>
                  </m:ctrlPr>
                </m:sub>
              </m:sSub>
              <m:ctrlPr>
                <w:rPr>
                  <w:rFonts w:ascii="Cambria Math" w:hAnsi="Cambria Math"/>
                </w:rPr>
              </m:ctrlPr>
            </m:num>
            <m:den>
              <m:r>
                <m:rPr>
                  <m:nor/>
                  <m:sty m:val="p"/>
                </m:rPr>
                <w:rPr>
                  <w:rFonts w:ascii="Times New Roman" w:hAnsi="Times New Roman"/>
                  <w:b w:val="0"/>
                  <w:i w:val="0"/>
                </w:rPr>
                <m:t>X</m:t>
              </m:r>
              <m:ctrlPr>
                <w:rPr>
                  <w:rFonts w:ascii="Cambria Math" w:hAnsi="Cambria Math"/>
                </w:rPr>
              </m:ctrlPr>
            </m:den>
          </m:f>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0.009518</m:t>
              </m:r>
              <m:ctrlPr>
                <w:rPr>
                  <w:rFonts w:ascii="Cambria Math" w:hAnsi="Cambria Math"/>
                </w:rPr>
              </m:ctrlPr>
            </m:num>
            <m:den>
              <m:r>
                <m:rPr>
                  <m:nor/>
                  <m:sty m:val="p"/>
                </m:rPr>
                <w:rPr>
                  <w:rFonts w:ascii="Times New Roman" w:hAnsi="Times New Roman"/>
                  <w:b w:val="0"/>
                  <w:i w:val="0"/>
                </w:rPr>
                <m:t>0.06834</m:t>
              </m:r>
              <m:ctrlPr>
                <w:rPr>
                  <w:rFonts w:ascii="Cambria Math" w:hAnsi="Cambria Math"/>
                </w:rPr>
              </m:ctrlPr>
            </m:den>
          </m:f>
          <m:r>
            <m:rPr>
              <m:nor/>
              <m:sty m:val="p"/>
            </m:rPr>
            <w:rPr>
              <w:rFonts w:ascii="Times New Roman" w:hAnsi="Times New Roman"/>
              <w:b w:val="0"/>
              <w:i w:val="0"/>
            </w:rPr>
            <m:t>=1.393%</m:t>
          </m:r>
        </m:oMath>
      </m:oMathPara>
    </w:p>
    <w:p w14:paraId="6BF3AA16">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bookmarkStart w:id="68" w:name="_Toc50997485"/>
      <w:r>
        <w:rPr>
          <w:rFonts w:hint="eastAsia" w:ascii="Times New Roman" w:hAnsi="Times New Roman" w:eastAsia="黑体"/>
          <w:spacing w:val="-6"/>
        </w:rPr>
        <w:t>D</w:t>
      </w:r>
      <w:r>
        <w:rPr>
          <w:rFonts w:ascii="Times New Roman" w:hAnsi="Times New Roman" w:eastAsia="黑体"/>
          <w:spacing w:val="-6"/>
        </w:rPr>
        <w:t>.8.</w:t>
      </w:r>
      <w:r>
        <w:rPr>
          <w:rFonts w:hint="eastAsia" w:ascii="Times New Roman" w:hAnsi="Times New Roman" w:eastAsia="黑体"/>
          <w:spacing w:val="-6"/>
        </w:rPr>
        <w:t>3</w:t>
      </w:r>
      <w:r>
        <w:rPr>
          <w:rFonts w:ascii="Times New Roman" w:hAnsi="Times New Roman" w:eastAsia="黑体"/>
          <w:spacing w:val="-6"/>
        </w:rPr>
        <w:t xml:space="preserve"> 不稳定性引入的不确定度</w:t>
      </w:r>
      <w:bookmarkEnd w:id="68"/>
    </w:p>
    <w:p w14:paraId="006D130B">
      <w:pPr>
        <w:spacing w:line="360" w:lineRule="auto"/>
        <w:ind w:firstLine="420"/>
        <w:rPr>
          <w:rFonts w:ascii="Times New Roman" w:hAnsi="Times New Roman"/>
        </w:rPr>
      </w:pPr>
      <w:r>
        <w:rPr>
          <w:rFonts w:ascii="Times New Roman" w:hAnsi="Times New Roman"/>
        </w:rPr>
        <w:t>在稳定性监测期间内，稳定性变化很小，证明该标准物质是稳定的，由标准物质的不稳定性引入的不确定度主要包括长期稳定性和短期稳定性引入的不确定度，其中，长期稳定性是指在规定储存条件下标准物质特性的稳定性，本实验在0、1、2、3、6个月积累了乳粉中DHA含量的测量数据</w:t>
      </w:r>
      <w:r>
        <w:rPr>
          <w:rFonts w:hint="eastAsia" w:ascii="Times New Roman" w:hAnsi="Times New Roman"/>
        </w:rPr>
        <w:t>见表6</w:t>
      </w:r>
      <w:r>
        <w:rPr>
          <w:rFonts w:ascii="Times New Roman" w:hAnsi="Times New Roman"/>
        </w:rPr>
        <w:t>。</w:t>
      </w:r>
    </w:p>
    <w:p w14:paraId="1D16219B">
      <w:pPr>
        <w:wordWrap w:val="0"/>
        <w:spacing w:line="360" w:lineRule="auto"/>
        <w:ind w:firstLine="422"/>
        <w:jc w:val="center"/>
        <w:rPr>
          <w:rFonts w:ascii="Times New Roman" w:hAnsi="Times New Roman" w:eastAsiaTheme="minorEastAsia"/>
          <w:b/>
        </w:rPr>
      </w:pPr>
      <w:r>
        <w:rPr>
          <w:rFonts w:ascii="Times New Roman" w:hAnsi="Times New Roman" w:eastAsia="黑体"/>
          <w:bCs/>
        </w:rPr>
        <w:t>表</w:t>
      </w:r>
      <w:r>
        <w:rPr>
          <w:rFonts w:hint="eastAsia" w:ascii="Times New Roman" w:hAnsi="Times New Roman" w:eastAsia="黑体"/>
          <w:bCs/>
        </w:rPr>
        <w:t>D.</w:t>
      </w:r>
      <w:r>
        <w:rPr>
          <w:rFonts w:ascii="Times New Roman" w:hAnsi="Times New Roman" w:eastAsia="黑体"/>
          <w:bCs/>
        </w:rPr>
        <w:t>6 乳粉中DHA成分分析标准物质稳定性检验结果（单位：g/100g）</w:t>
      </w:r>
    </w:p>
    <w:tbl>
      <w:tblPr>
        <w:tblStyle w:val="28"/>
        <w:tblW w:w="9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4"/>
        <w:gridCol w:w="1334"/>
        <w:gridCol w:w="1336"/>
        <w:gridCol w:w="1795"/>
        <w:gridCol w:w="1795"/>
        <w:gridCol w:w="1797"/>
      </w:tblGrid>
      <w:tr w14:paraId="2A20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1A669639">
            <w:pPr>
              <w:widowControl/>
              <w:kinsoku w:val="0"/>
              <w:autoSpaceDE w:val="0"/>
              <w:autoSpaceDN w:val="0"/>
              <w:snapToGrid w:val="0"/>
              <w:spacing w:before="78" w:beforeLines="25" w:line="360" w:lineRule="auto"/>
              <w:jc w:val="center"/>
              <w:textAlignment w:val="baseline"/>
              <w:rPr>
                <w:rFonts w:ascii="Times New Roman" w:hAnsi="Times New Roman"/>
              </w:rPr>
            </w:pPr>
          </w:p>
        </w:tc>
        <w:tc>
          <w:tcPr>
            <w:tcW w:w="2670" w:type="dxa"/>
            <w:gridSpan w:val="2"/>
            <w:vAlign w:val="center"/>
          </w:tcPr>
          <w:p w14:paraId="68291997">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长期稳定性实验</w:t>
            </w:r>
          </w:p>
        </w:tc>
        <w:tc>
          <w:tcPr>
            <w:tcW w:w="5387" w:type="dxa"/>
            <w:gridSpan w:val="3"/>
          </w:tcPr>
          <w:p w14:paraId="3FB8B2E0">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短期稳定性实验</w:t>
            </w:r>
          </w:p>
        </w:tc>
      </w:tr>
      <w:tr w14:paraId="251C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4509EDA1">
            <w:pPr>
              <w:widowControl/>
              <w:kinsoku w:val="0"/>
              <w:autoSpaceDE w:val="0"/>
              <w:autoSpaceDN w:val="0"/>
              <w:snapToGrid w:val="0"/>
              <w:spacing w:before="78" w:beforeLines="25" w:line="360" w:lineRule="auto"/>
              <w:jc w:val="center"/>
              <w:textAlignment w:val="baseline"/>
              <w:rPr>
                <w:rFonts w:ascii="Times New Roman" w:hAnsi="Times New Roman"/>
              </w:rPr>
            </w:pPr>
          </w:p>
        </w:tc>
        <w:tc>
          <w:tcPr>
            <w:tcW w:w="1334" w:type="dxa"/>
            <w:vAlign w:val="center"/>
          </w:tcPr>
          <w:p w14:paraId="78250D63">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时间（月）</w:t>
            </w:r>
          </w:p>
        </w:tc>
        <w:tc>
          <w:tcPr>
            <w:tcW w:w="1336" w:type="dxa"/>
            <w:vAlign w:val="center"/>
          </w:tcPr>
          <w:p w14:paraId="14D5CC8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检测结果</w:t>
            </w:r>
          </w:p>
        </w:tc>
        <w:tc>
          <w:tcPr>
            <w:tcW w:w="1795" w:type="dxa"/>
            <w:vAlign w:val="center"/>
          </w:tcPr>
          <w:p w14:paraId="04DB039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时间（天）</w:t>
            </w:r>
          </w:p>
        </w:tc>
        <w:tc>
          <w:tcPr>
            <w:tcW w:w="1795" w:type="dxa"/>
            <w:vAlign w:val="center"/>
          </w:tcPr>
          <w:p w14:paraId="15081F7C">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检测结果</w:t>
            </w:r>
          </w:p>
          <w:p w14:paraId="384A618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（4℃）</w:t>
            </w:r>
          </w:p>
        </w:tc>
        <w:tc>
          <w:tcPr>
            <w:tcW w:w="1797" w:type="dxa"/>
          </w:tcPr>
          <w:p w14:paraId="6988201C">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检测结果</w:t>
            </w:r>
          </w:p>
          <w:p w14:paraId="5661CA79">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（50℃）</w:t>
            </w:r>
          </w:p>
        </w:tc>
      </w:tr>
      <w:tr w14:paraId="6E0A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restart"/>
            <w:vAlign w:val="center"/>
          </w:tcPr>
          <w:p w14:paraId="555347E4">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项目</w:t>
            </w:r>
          </w:p>
        </w:tc>
        <w:tc>
          <w:tcPr>
            <w:tcW w:w="1334" w:type="dxa"/>
            <w:tcBorders>
              <w:top w:val="single" w:color="auto" w:sz="4" w:space="0"/>
              <w:left w:val="single" w:color="auto" w:sz="4" w:space="0"/>
              <w:bottom w:val="single" w:color="auto" w:sz="4" w:space="0"/>
              <w:right w:val="single" w:color="auto" w:sz="4" w:space="0"/>
            </w:tcBorders>
          </w:tcPr>
          <w:p w14:paraId="420C2A95">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2019年11月</w:t>
            </w:r>
          </w:p>
        </w:tc>
        <w:tc>
          <w:tcPr>
            <w:tcW w:w="1336" w:type="dxa"/>
            <w:tcBorders>
              <w:top w:val="single" w:color="auto" w:sz="4" w:space="0"/>
              <w:left w:val="nil"/>
              <w:bottom w:val="single" w:color="auto" w:sz="4" w:space="0"/>
              <w:right w:val="single" w:color="auto" w:sz="4" w:space="0"/>
            </w:tcBorders>
            <w:vAlign w:val="center"/>
          </w:tcPr>
          <w:p w14:paraId="30A3E532">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0.07149 </w:t>
            </w:r>
          </w:p>
        </w:tc>
        <w:tc>
          <w:tcPr>
            <w:tcW w:w="1795" w:type="dxa"/>
            <w:tcBorders>
              <w:top w:val="single" w:color="auto" w:sz="4" w:space="0"/>
              <w:left w:val="nil"/>
              <w:bottom w:val="single" w:color="auto" w:sz="4" w:space="0"/>
              <w:right w:val="single" w:color="auto" w:sz="4" w:space="0"/>
            </w:tcBorders>
          </w:tcPr>
          <w:p w14:paraId="7B7A9531">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5月6日</w:t>
            </w:r>
          </w:p>
        </w:tc>
        <w:tc>
          <w:tcPr>
            <w:tcW w:w="1795" w:type="dxa"/>
            <w:tcBorders>
              <w:top w:val="single" w:color="auto" w:sz="4" w:space="0"/>
              <w:left w:val="nil"/>
              <w:bottom w:val="single" w:color="auto" w:sz="4" w:space="0"/>
              <w:right w:val="single" w:color="auto" w:sz="4" w:space="0"/>
            </w:tcBorders>
          </w:tcPr>
          <w:p w14:paraId="01378B50">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0.06858 </w:t>
            </w:r>
          </w:p>
        </w:tc>
        <w:tc>
          <w:tcPr>
            <w:tcW w:w="1797" w:type="dxa"/>
            <w:tcBorders>
              <w:top w:val="single" w:color="auto" w:sz="4" w:space="0"/>
              <w:left w:val="nil"/>
              <w:bottom w:val="single" w:color="auto" w:sz="4" w:space="0"/>
              <w:right w:val="single" w:color="auto" w:sz="4" w:space="0"/>
            </w:tcBorders>
          </w:tcPr>
          <w:p w14:paraId="76491CCC">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0.06858 </w:t>
            </w:r>
          </w:p>
        </w:tc>
      </w:tr>
      <w:tr w14:paraId="304D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14:paraId="067B01D9">
            <w:pPr>
              <w:widowControl/>
              <w:kinsoku w:val="0"/>
              <w:autoSpaceDE w:val="0"/>
              <w:autoSpaceDN w:val="0"/>
              <w:snapToGrid w:val="0"/>
              <w:spacing w:before="78" w:beforeLines="25" w:line="360" w:lineRule="auto"/>
              <w:jc w:val="center"/>
              <w:textAlignment w:val="baseline"/>
              <w:rPr>
                <w:rFonts w:ascii="Times New Roman" w:hAnsi="Times New Roman"/>
              </w:rPr>
            </w:pPr>
          </w:p>
        </w:tc>
        <w:tc>
          <w:tcPr>
            <w:tcW w:w="1334" w:type="dxa"/>
            <w:tcBorders>
              <w:top w:val="nil"/>
              <w:left w:val="single" w:color="auto" w:sz="4" w:space="0"/>
              <w:bottom w:val="single" w:color="auto" w:sz="4" w:space="0"/>
              <w:right w:val="single" w:color="auto" w:sz="4" w:space="0"/>
            </w:tcBorders>
          </w:tcPr>
          <w:p w14:paraId="33F9CDB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2019年12月</w:t>
            </w:r>
          </w:p>
        </w:tc>
        <w:tc>
          <w:tcPr>
            <w:tcW w:w="1336" w:type="dxa"/>
            <w:tcBorders>
              <w:top w:val="nil"/>
              <w:left w:val="nil"/>
              <w:bottom w:val="single" w:color="auto" w:sz="4" w:space="0"/>
              <w:right w:val="single" w:color="auto" w:sz="4" w:space="0"/>
            </w:tcBorders>
            <w:vAlign w:val="center"/>
          </w:tcPr>
          <w:p w14:paraId="345C60EF">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0.06853 </w:t>
            </w:r>
          </w:p>
        </w:tc>
        <w:tc>
          <w:tcPr>
            <w:tcW w:w="1795" w:type="dxa"/>
            <w:tcBorders>
              <w:top w:val="nil"/>
              <w:left w:val="nil"/>
              <w:bottom w:val="single" w:color="auto" w:sz="4" w:space="0"/>
              <w:right w:val="single" w:color="auto" w:sz="4" w:space="0"/>
            </w:tcBorders>
          </w:tcPr>
          <w:p w14:paraId="410E42BE">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5月7日</w:t>
            </w:r>
          </w:p>
        </w:tc>
        <w:tc>
          <w:tcPr>
            <w:tcW w:w="1795" w:type="dxa"/>
            <w:tcBorders>
              <w:top w:val="nil"/>
              <w:left w:val="nil"/>
              <w:bottom w:val="single" w:color="auto" w:sz="4" w:space="0"/>
              <w:right w:val="single" w:color="auto" w:sz="4" w:space="0"/>
            </w:tcBorders>
          </w:tcPr>
          <w:p w14:paraId="143620F8">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0.07150 </w:t>
            </w:r>
          </w:p>
        </w:tc>
        <w:tc>
          <w:tcPr>
            <w:tcW w:w="1797" w:type="dxa"/>
            <w:tcBorders>
              <w:top w:val="nil"/>
              <w:left w:val="nil"/>
              <w:bottom w:val="single" w:color="auto" w:sz="4" w:space="0"/>
              <w:right w:val="single" w:color="auto" w:sz="4" w:space="0"/>
            </w:tcBorders>
          </w:tcPr>
          <w:p w14:paraId="49A55AF6">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0.07240 </w:t>
            </w:r>
          </w:p>
        </w:tc>
      </w:tr>
      <w:tr w14:paraId="761E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14:paraId="4E388DB4">
            <w:pPr>
              <w:widowControl/>
              <w:kinsoku w:val="0"/>
              <w:autoSpaceDE w:val="0"/>
              <w:autoSpaceDN w:val="0"/>
              <w:snapToGrid w:val="0"/>
              <w:spacing w:before="78" w:beforeLines="25" w:line="360" w:lineRule="auto"/>
              <w:jc w:val="center"/>
              <w:textAlignment w:val="baseline"/>
              <w:rPr>
                <w:rFonts w:ascii="Times New Roman" w:hAnsi="Times New Roman"/>
              </w:rPr>
            </w:pPr>
          </w:p>
        </w:tc>
        <w:tc>
          <w:tcPr>
            <w:tcW w:w="1334" w:type="dxa"/>
            <w:tcBorders>
              <w:top w:val="nil"/>
              <w:left w:val="single" w:color="auto" w:sz="4" w:space="0"/>
              <w:bottom w:val="single" w:color="auto" w:sz="4" w:space="0"/>
              <w:right w:val="single" w:color="auto" w:sz="4" w:space="0"/>
            </w:tcBorders>
          </w:tcPr>
          <w:p w14:paraId="2BE6E5DE">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2020年1月</w:t>
            </w:r>
          </w:p>
        </w:tc>
        <w:tc>
          <w:tcPr>
            <w:tcW w:w="1336" w:type="dxa"/>
            <w:tcBorders>
              <w:top w:val="nil"/>
              <w:left w:val="nil"/>
              <w:bottom w:val="single" w:color="auto" w:sz="4" w:space="0"/>
              <w:right w:val="single" w:color="auto" w:sz="4" w:space="0"/>
            </w:tcBorders>
            <w:vAlign w:val="center"/>
          </w:tcPr>
          <w:p w14:paraId="4E4D4715">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0.06972 </w:t>
            </w:r>
          </w:p>
        </w:tc>
        <w:tc>
          <w:tcPr>
            <w:tcW w:w="1795" w:type="dxa"/>
            <w:tcBorders>
              <w:top w:val="nil"/>
              <w:left w:val="nil"/>
              <w:bottom w:val="single" w:color="auto" w:sz="4" w:space="0"/>
              <w:right w:val="single" w:color="auto" w:sz="4" w:space="0"/>
            </w:tcBorders>
          </w:tcPr>
          <w:p w14:paraId="6CC3B2C6">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5月9日</w:t>
            </w:r>
          </w:p>
        </w:tc>
        <w:tc>
          <w:tcPr>
            <w:tcW w:w="1795" w:type="dxa"/>
            <w:tcBorders>
              <w:top w:val="nil"/>
              <w:left w:val="nil"/>
              <w:bottom w:val="single" w:color="auto" w:sz="4" w:space="0"/>
              <w:right w:val="single" w:color="auto" w:sz="4" w:space="0"/>
            </w:tcBorders>
          </w:tcPr>
          <w:p w14:paraId="4E3D3726">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0.07032 </w:t>
            </w:r>
          </w:p>
        </w:tc>
        <w:tc>
          <w:tcPr>
            <w:tcW w:w="1797" w:type="dxa"/>
            <w:tcBorders>
              <w:top w:val="nil"/>
              <w:left w:val="nil"/>
              <w:bottom w:val="single" w:color="auto" w:sz="4" w:space="0"/>
              <w:right w:val="single" w:color="auto" w:sz="4" w:space="0"/>
            </w:tcBorders>
          </w:tcPr>
          <w:p w14:paraId="3DA8BF8C">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0.07453 </w:t>
            </w:r>
          </w:p>
        </w:tc>
      </w:tr>
      <w:tr w14:paraId="0034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14:paraId="3A4D6EDF">
            <w:pPr>
              <w:widowControl/>
              <w:kinsoku w:val="0"/>
              <w:autoSpaceDE w:val="0"/>
              <w:autoSpaceDN w:val="0"/>
              <w:snapToGrid w:val="0"/>
              <w:spacing w:before="78" w:beforeLines="25" w:line="360" w:lineRule="auto"/>
              <w:jc w:val="center"/>
              <w:textAlignment w:val="baseline"/>
              <w:rPr>
                <w:rFonts w:ascii="Times New Roman" w:hAnsi="Times New Roman"/>
              </w:rPr>
            </w:pPr>
          </w:p>
        </w:tc>
        <w:tc>
          <w:tcPr>
            <w:tcW w:w="1334" w:type="dxa"/>
            <w:tcBorders>
              <w:top w:val="nil"/>
              <w:left w:val="single" w:color="auto" w:sz="4" w:space="0"/>
              <w:bottom w:val="single" w:color="auto" w:sz="4" w:space="0"/>
              <w:right w:val="single" w:color="auto" w:sz="4" w:space="0"/>
            </w:tcBorders>
          </w:tcPr>
          <w:p w14:paraId="47FF9CF8">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2020年2月</w:t>
            </w:r>
          </w:p>
        </w:tc>
        <w:tc>
          <w:tcPr>
            <w:tcW w:w="1336" w:type="dxa"/>
            <w:tcBorders>
              <w:top w:val="nil"/>
              <w:left w:val="nil"/>
              <w:bottom w:val="single" w:color="auto" w:sz="4" w:space="0"/>
              <w:right w:val="single" w:color="auto" w:sz="4" w:space="0"/>
            </w:tcBorders>
            <w:vAlign w:val="center"/>
          </w:tcPr>
          <w:p w14:paraId="26BCA020">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0.06612 </w:t>
            </w:r>
          </w:p>
        </w:tc>
        <w:tc>
          <w:tcPr>
            <w:tcW w:w="1795" w:type="dxa"/>
            <w:tcBorders>
              <w:top w:val="nil"/>
              <w:left w:val="nil"/>
              <w:bottom w:val="single" w:color="auto" w:sz="4" w:space="0"/>
              <w:right w:val="single" w:color="auto" w:sz="4" w:space="0"/>
            </w:tcBorders>
          </w:tcPr>
          <w:p w14:paraId="740DD251">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5月11日</w:t>
            </w:r>
          </w:p>
        </w:tc>
        <w:tc>
          <w:tcPr>
            <w:tcW w:w="1795" w:type="dxa"/>
            <w:tcBorders>
              <w:top w:val="nil"/>
              <w:left w:val="nil"/>
              <w:bottom w:val="single" w:color="auto" w:sz="4" w:space="0"/>
              <w:right w:val="single" w:color="auto" w:sz="4" w:space="0"/>
            </w:tcBorders>
          </w:tcPr>
          <w:p w14:paraId="68B34B60">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0.07087 </w:t>
            </w:r>
          </w:p>
        </w:tc>
        <w:tc>
          <w:tcPr>
            <w:tcW w:w="1797" w:type="dxa"/>
            <w:tcBorders>
              <w:top w:val="nil"/>
              <w:left w:val="nil"/>
              <w:bottom w:val="single" w:color="auto" w:sz="4" w:space="0"/>
              <w:right w:val="single" w:color="auto" w:sz="4" w:space="0"/>
            </w:tcBorders>
          </w:tcPr>
          <w:p w14:paraId="76145FB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0.07263 </w:t>
            </w:r>
          </w:p>
        </w:tc>
      </w:tr>
      <w:tr w14:paraId="1575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14:paraId="41C7ACBF">
            <w:pPr>
              <w:widowControl/>
              <w:kinsoku w:val="0"/>
              <w:autoSpaceDE w:val="0"/>
              <w:autoSpaceDN w:val="0"/>
              <w:snapToGrid w:val="0"/>
              <w:spacing w:before="78" w:beforeLines="25" w:line="360" w:lineRule="auto"/>
              <w:jc w:val="center"/>
              <w:textAlignment w:val="baseline"/>
              <w:rPr>
                <w:rFonts w:ascii="Times New Roman" w:hAnsi="Times New Roman"/>
              </w:rPr>
            </w:pPr>
          </w:p>
        </w:tc>
        <w:tc>
          <w:tcPr>
            <w:tcW w:w="1334" w:type="dxa"/>
            <w:tcBorders>
              <w:top w:val="nil"/>
              <w:left w:val="single" w:color="auto" w:sz="4" w:space="0"/>
              <w:bottom w:val="single" w:color="auto" w:sz="4" w:space="0"/>
              <w:right w:val="single" w:color="auto" w:sz="4" w:space="0"/>
            </w:tcBorders>
          </w:tcPr>
          <w:p w14:paraId="739E112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2020年5月</w:t>
            </w:r>
          </w:p>
        </w:tc>
        <w:tc>
          <w:tcPr>
            <w:tcW w:w="1336" w:type="dxa"/>
            <w:tcBorders>
              <w:top w:val="nil"/>
              <w:left w:val="nil"/>
              <w:bottom w:val="single" w:color="auto" w:sz="4" w:space="0"/>
              <w:right w:val="single" w:color="auto" w:sz="4" w:space="0"/>
            </w:tcBorders>
            <w:vAlign w:val="center"/>
          </w:tcPr>
          <w:p w14:paraId="4A3117C7">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0.06836 </w:t>
            </w:r>
          </w:p>
        </w:tc>
        <w:tc>
          <w:tcPr>
            <w:tcW w:w="1795" w:type="dxa"/>
            <w:tcBorders>
              <w:top w:val="nil"/>
              <w:left w:val="nil"/>
              <w:bottom w:val="single" w:color="auto" w:sz="4" w:space="0"/>
              <w:right w:val="single" w:color="auto" w:sz="4" w:space="0"/>
            </w:tcBorders>
          </w:tcPr>
          <w:p w14:paraId="6274DF1C">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5月13日</w:t>
            </w:r>
          </w:p>
        </w:tc>
        <w:tc>
          <w:tcPr>
            <w:tcW w:w="1795" w:type="dxa"/>
            <w:tcBorders>
              <w:top w:val="nil"/>
              <w:left w:val="nil"/>
              <w:bottom w:val="single" w:color="auto" w:sz="4" w:space="0"/>
              <w:right w:val="single" w:color="auto" w:sz="4" w:space="0"/>
            </w:tcBorders>
          </w:tcPr>
          <w:p w14:paraId="29C33247">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0.07012 </w:t>
            </w:r>
          </w:p>
        </w:tc>
        <w:tc>
          <w:tcPr>
            <w:tcW w:w="1797" w:type="dxa"/>
            <w:tcBorders>
              <w:top w:val="nil"/>
              <w:left w:val="nil"/>
              <w:bottom w:val="single" w:color="auto" w:sz="4" w:space="0"/>
              <w:right w:val="single" w:color="auto" w:sz="4" w:space="0"/>
            </w:tcBorders>
          </w:tcPr>
          <w:p w14:paraId="2C80BEA7">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0.07344 </w:t>
            </w:r>
          </w:p>
        </w:tc>
      </w:tr>
      <w:tr w14:paraId="0C64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1FE7EB7A">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position w:val="-4"/>
              </w:rPr>
              <w:object>
                <v:shape id="_x0000_i1071" o:spt="75" type="#_x0000_t75" style="height:14.2pt;width:14.2pt;" o:ole="t" filled="f" o:preferrelative="t" stroked="f" coordsize="21600,21600">
                  <v:path/>
                  <v:fill on="f" focussize="0,0"/>
                  <v:stroke on="f" joinstyle="miter"/>
                  <v:imagedata r:id="rId108" o:title=""/>
                  <o:lock v:ext="edit" aspectratio="t"/>
                  <w10:wrap type="none"/>
                  <w10:anchorlock/>
                </v:shape>
                <o:OLEObject Type="Embed" ProgID="Equation.KSEE3" ShapeID="_x0000_i1071" DrawAspect="Content" ObjectID="_1468075771" r:id="rId107">
                  <o:LockedField>false</o:LockedField>
                </o:OLEObject>
              </w:object>
            </w:r>
          </w:p>
        </w:tc>
        <w:tc>
          <w:tcPr>
            <w:tcW w:w="2670" w:type="dxa"/>
            <w:gridSpan w:val="2"/>
            <w:tcBorders>
              <w:top w:val="single" w:color="auto" w:sz="4" w:space="0"/>
              <w:left w:val="single" w:color="auto" w:sz="4" w:space="0"/>
              <w:bottom w:val="single" w:color="auto" w:sz="4" w:space="0"/>
              <w:right w:val="single" w:color="auto" w:sz="4" w:space="0"/>
            </w:tcBorders>
            <w:vAlign w:val="center"/>
          </w:tcPr>
          <w:p w14:paraId="642EE17D">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0.06885</w:t>
            </w:r>
          </w:p>
        </w:tc>
        <w:tc>
          <w:tcPr>
            <w:tcW w:w="1795" w:type="dxa"/>
            <w:vAlign w:val="center"/>
          </w:tcPr>
          <w:p w14:paraId="56770D1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position w:val="-4"/>
              </w:rPr>
              <w:object>
                <v:shape id="_x0000_i1072" o:spt="75" type="#_x0000_t75" style="height:14.2pt;width:14.2pt;" o:ole="t" filled="f" o:preferrelative="t" stroked="f" coordsize="21600,21600">
                  <v:path/>
                  <v:fill on="f" focussize="0,0"/>
                  <v:stroke on="f" joinstyle="miter"/>
                  <v:imagedata r:id="rId108" o:title=""/>
                  <o:lock v:ext="edit" aspectratio="t"/>
                  <w10:wrap type="none"/>
                  <w10:anchorlock/>
                </v:shape>
                <o:OLEObject Type="Embed" ProgID="Equation.KSEE3" ShapeID="_x0000_i1072" DrawAspect="Content" ObjectID="_1468075772" r:id="rId109">
                  <o:LockedField>false</o:LockedField>
                </o:OLEObject>
              </w:object>
            </w:r>
          </w:p>
        </w:tc>
        <w:tc>
          <w:tcPr>
            <w:tcW w:w="1795" w:type="dxa"/>
            <w:tcBorders>
              <w:top w:val="single" w:color="auto" w:sz="4" w:space="0"/>
              <w:left w:val="single" w:color="auto" w:sz="4" w:space="0"/>
              <w:bottom w:val="single" w:color="auto" w:sz="4" w:space="0"/>
              <w:right w:val="single" w:color="auto" w:sz="4" w:space="0"/>
            </w:tcBorders>
            <w:vAlign w:val="center"/>
          </w:tcPr>
          <w:p w14:paraId="7A85B039">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0.07028 </w:t>
            </w:r>
          </w:p>
        </w:tc>
        <w:tc>
          <w:tcPr>
            <w:tcW w:w="1797" w:type="dxa"/>
            <w:tcBorders>
              <w:top w:val="single" w:color="auto" w:sz="4" w:space="0"/>
              <w:left w:val="nil"/>
              <w:bottom w:val="single" w:color="auto" w:sz="4" w:space="0"/>
              <w:right w:val="single" w:color="auto" w:sz="4" w:space="0"/>
            </w:tcBorders>
            <w:vAlign w:val="center"/>
          </w:tcPr>
          <w:p w14:paraId="4FA8A6C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0.07232 </w:t>
            </w:r>
          </w:p>
        </w:tc>
      </w:tr>
      <w:tr w14:paraId="4CE0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03E65DA8">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X</w:t>
            </w:r>
          </w:p>
        </w:tc>
        <w:tc>
          <w:tcPr>
            <w:tcW w:w="2670" w:type="dxa"/>
            <w:gridSpan w:val="2"/>
            <w:tcBorders>
              <w:top w:val="single" w:color="auto" w:sz="4" w:space="0"/>
              <w:left w:val="single" w:color="auto" w:sz="4" w:space="0"/>
              <w:bottom w:val="single" w:color="auto" w:sz="4" w:space="0"/>
              <w:right w:val="single" w:color="auto" w:sz="4" w:space="0"/>
            </w:tcBorders>
            <w:vAlign w:val="center"/>
          </w:tcPr>
          <w:p w14:paraId="1F971A37">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2.4000</w:t>
            </w:r>
          </w:p>
        </w:tc>
        <w:tc>
          <w:tcPr>
            <w:tcW w:w="1795" w:type="dxa"/>
            <w:vAlign w:val="center"/>
          </w:tcPr>
          <w:p w14:paraId="0902E7FE">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X</w:t>
            </w:r>
          </w:p>
        </w:tc>
        <w:tc>
          <w:tcPr>
            <w:tcW w:w="1795" w:type="dxa"/>
            <w:tcBorders>
              <w:top w:val="nil"/>
              <w:left w:val="single" w:color="auto" w:sz="4" w:space="0"/>
              <w:bottom w:val="single" w:color="auto" w:sz="4" w:space="0"/>
              <w:right w:val="single" w:color="auto" w:sz="4" w:space="0"/>
            </w:tcBorders>
            <w:vAlign w:val="center"/>
          </w:tcPr>
          <w:p w14:paraId="2185F1C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3.2000 </w:t>
            </w:r>
          </w:p>
        </w:tc>
        <w:tc>
          <w:tcPr>
            <w:tcW w:w="1797" w:type="dxa"/>
            <w:tcBorders>
              <w:top w:val="nil"/>
              <w:left w:val="nil"/>
              <w:bottom w:val="single" w:color="auto" w:sz="4" w:space="0"/>
              <w:right w:val="single" w:color="auto" w:sz="4" w:space="0"/>
            </w:tcBorders>
            <w:vAlign w:val="center"/>
          </w:tcPr>
          <w:p w14:paraId="037B309E">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3.2000 </w:t>
            </w:r>
          </w:p>
        </w:tc>
      </w:tr>
      <w:tr w14:paraId="2BEC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6296CA0D">
            <w:pPr>
              <w:widowControl/>
              <w:kinsoku w:val="0"/>
              <w:autoSpaceDE w:val="0"/>
              <w:autoSpaceDN w:val="0"/>
              <w:snapToGrid w:val="0"/>
              <w:spacing w:before="78" w:beforeLines="25" w:line="360" w:lineRule="auto"/>
              <w:jc w:val="center"/>
              <w:textAlignment w:val="baseline"/>
              <w:rPr>
                <w:rFonts w:ascii="Times New Roman" w:hAnsi="Times New Roman"/>
                <w:i/>
              </w:rPr>
            </w:pPr>
            <w:r>
              <w:rPr>
                <w:rFonts w:ascii="Times New Roman" w:hAnsi="Times New Roman"/>
                <w:i/>
              </w:rPr>
              <w:t>β</w:t>
            </w:r>
            <w:r>
              <w:rPr>
                <w:rFonts w:ascii="Times New Roman" w:hAnsi="Times New Roman"/>
                <w:i/>
                <w:vertAlign w:val="subscript"/>
              </w:rPr>
              <w:t>1</w:t>
            </w:r>
          </w:p>
        </w:tc>
        <w:tc>
          <w:tcPr>
            <w:tcW w:w="2670" w:type="dxa"/>
            <w:gridSpan w:val="2"/>
            <w:tcBorders>
              <w:top w:val="single" w:color="auto" w:sz="4" w:space="0"/>
              <w:left w:val="single" w:color="auto" w:sz="4" w:space="0"/>
              <w:bottom w:val="single" w:color="auto" w:sz="4" w:space="0"/>
              <w:right w:val="single" w:color="auto" w:sz="4" w:space="0"/>
            </w:tcBorders>
            <w:vAlign w:val="center"/>
          </w:tcPr>
          <w:p w14:paraId="2C33BC40">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-0.0005</w:t>
            </w:r>
          </w:p>
        </w:tc>
        <w:tc>
          <w:tcPr>
            <w:tcW w:w="1795" w:type="dxa"/>
            <w:vAlign w:val="center"/>
          </w:tcPr>
          <w:p w14:paraId="711C167E">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i/>
              </w:rPr>
              <w:t>β</w:t>
            </w:r>
            <w:r>
              <w:rPr>
                <w:rFonts w:ascii="Times New Roman" w:hAnsi="Times New Roman"/>
                <w:vertAlign w:val="subscript"/>
              </w:rPr>
              <w:t>1</w:t>
            </w:r>
          </w:p>
        </w:tc>
        <w:tc>
          <w:tcPr>
            <w:tcW w:w="1795" w:type="dxa"/>
            <w:tcBorders>
              <w:top w:val="nil"/>
              <w:left w:val="single" w:color="auto" w:sz="4" w:space="0"/>
              <w:bottom w:val="single" w:color="auto" w:sz="4" w:space="0"/>
              <w:right w:val="single" w:color="auto" w:sz="4" w:space="0"/>
            </w:tcBorders>
            <w:vAlign w:val="center"/>
          </w:tcPr>
          <w:p w14:paraId="71D9B64D">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0.0001</w:t>
            </w:r>
          </w:p>
        </w:tc>
        <w:tc>
          <w:tcPr>
            <w:tcW w:w="1797" w:type="dxa"/>
            <w:tcBorders>
              <w:top w:val="nil"/>
              <w:left w:val="nil"/>
              <w:bottom w:val="single" w:color="auto" w:sz="4" w:space="0"/>
              <w:right w:val="single" w:color="auto" w:sz="4" w:space="0"/>
            </w:tcBorders>
            <w:vAlign w:val="center"/>
          </w:tcPr>
          <w:p w14:paraId="58B0FC1F">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0.0005</w:t>
            </w:r>
          </w:p>
        </w:tc>
      </w:tr>
      <w:tr w14:paraId="5EC3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278DDDF0">
            <w:pPr>
              <w:widowControl/>
              <w:kinsoku w:val="0"/>
              <w:autoSpaceDE w:val="0"/>
              <w:autoSpaceDN w:val="0"/>
              <w:snapToGrid w:val="0"/>
              <w:spacing w:before="78" w:beforeLines="25" w:line="360" w:lineRule="auto"/>
              <w:jc w:val="center"/>
              <w:textAlignment w:val="baseline"/>
              <w:rPr>
                <w:rFonts w:ascii="Times New Roman" w:hAnsi="Times New Roman"/>
                <w:i/>
              </w:rPr>
            </w:pPr>
            <w:r>
              <w:rPr>
                <w:rFonts w:ascii="Times New Roman" w:hAnsi="Times New Roman"/>
                <w:i/>
              </w:rPr>
              <w:t>β</w:t>
            </w:r>
            <w:r>
              <w:rPr>
                <w:rFonts w:ascii="Times New Roman" w:hAnsi="Times New Roman"/>
                <w:i/>
                <w:vertAlign w:val="subscript"/>
              </w:rPr>
              <w:t>0</w:t>
            </w:r>
          </w:p>
        </w:tc>
        <w:tc>
          <w:tcPr>
            <w:tcW w:w="2670" w:type="dxa"/>
            <w:gridSpan w:val="2"/>
            <w:tcBorders>
              <w:top w:val="single" w:color="auto" w:sz="4" w:space="0"/>
              <w:left w:val="single" w:color="auto" w:sz="4" w:space="0"/>
              <w:bottom w:val="single" w:color="auto" w:sz="4" w:space="0"/>
              <w:right w:val="single" w:color="auto" w:sz="4" w:space="0"/>
            </w:tcBorders>
            <w:vAlign w:val="center"/>
          </w:tcPr>
          <w:p w14:paraId="6987D2F1">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0.0699</w:t>
            </w:r>
          </w:p>
        </w:tc>
        <w:tc>
          <w:tcPr>
            <w:tcW w:w="1795" w:type="dxa"/>
            <w:vAlign w:val="center"/>
          </w:tcPr>
          <w:p w14:paraId="1637B4F2">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i/>
              </w:rPr>
              <w:t>β</w:t>
            </w:r>
            <w:r>
              <w:rPr>
                <w:rFonts w:ascii="Times New Roman" w:hAnsi="Times New Roman"/>
                <w:vertAlign w:val="subscript"/>
              </w:rPr>
              <w:t>0</w:t>
            </w:r>
          </w:p>
        </w:tc>
        <w:tc>
          <w:tcPr>
            <w:tcW w:w="1795" w:type="dxa"/>
            <w:tcBorders>
              <w:top w:val="nil"/>
              <w:left w:val="single" w:color="auto" w:sz="4" w:space="0"/>
              <w:bottom w:val="single" w:color="auto" w:sz="4" w:space="0"/>
              <w:right w:val="single" w:color="auto" w:sz="4" w:space="0"/>
            </w:tcBorders>
            <w:vAlign w:val="center"/>
          </w:tcPr>
          <w:p w14:paraId="1DD141A0">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0.070</w:t>
            </w:r>
          </w:p>
        </w:tc>
        <w:tc>
          <w:tcPr>
            <w:tcW w:w="1797" w:type="dxa"/>
            <w:tcBorders>
              <w:top w:val="nil"/>
              <w:left w:val="nil"/>
              <w:bottom w:val="single" w:color="auto" w:sz="4" w:space="0"/>
              <w:right w:val="single" w:color="auto" w:sz="4" w:space="0"/>
            </w:tcBorders>
            <w:vAlign w:val="center"/>
          </w:tcPr>
          <w:p w14:paraId="0F1D8C3E">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0.071</w:t>
            </w:r>
          </w:p>
        </w:tc>
      </w:tr>
      <w:tr w14:paraId="0A0B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26C4A364">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S</w:t>
            </w:r>
            <w:r>
              <w:rPr>
                <w:rFonts w:ascii="Times New Roman" w:hAnsi="Times New Roman"/>
                <w:vertAlign w:val="subscript"/>
              </w:rPr>
              <w:t>2</w:t>
            </w:r>
          </w:p>
        </w:tc>
        <w:tc>
          <w:tcPr>
            <w:tcW w:w="2670" w:type="dxa"/>
            <w:gridSpan w:val="2"/>
            <w:tcBorders>
              <w:top w:val="single" w:color="auto" w:sz="4" w:space="0"/>
              <w:left w:val="single" w:color="auto" w:sz="4" w:space="0"/>
              <w:bottom w:val="single" w:color="auto" w:sz="4" w:space="0"/>
              <w:right w:val="single" w:color="auto" w:sz="4" w:space="0"/>
            </w:tcBorders>
            <w:vAlign w:val="center"/>
          </w:tcPr>
          <w:p w14:paraId="76B324D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0.0000038</w:t>
            </w:r>
          </w:p>
        </w:tc>
        <w:tc>
          <w:tcPr>
            <w:tcW w:w="1795" w:type="dxa"/>
            <w:vAlign w:val="center"/>
          </w:tcPr>
          <w:p w14:paraId="7CC75730">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S</w:t>
            </w:r>
            <w:r>
              <w:rPr>
                <w:rFonts w:ascii="Times New Roman" w:hAnsi="Times New Roman"/>
                <w:vertAlign w:val="subscript"/>
              </w:rPr>
              <w:t>2</w:t>
            </w:r>
          </w:p>
        </w:tc>
        <w:tc>
          <w:tcPr>
            <w:tcW w:w="1795" w:type="dxa"/>
            <w:tcBorders>
              <w:top w:val="nil"/>
              <w:left w:val="single" w:color="auto" w:sz="4" w:space="0"/>
              <w:bottom w:val="single" w:color="auto" w:sz="4" w:space="0"/>
              <w:right w:val="single" w:color="auto" w:sz="4" w:space="0"/>
            </w:tcBorders>
            <w:vAlign w:val="center"/>
          </w:tcPr>
          <w:p w14:paraId="5CE454CF">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0.000022</w:t>
            </w:r>
          </w:p>
        </w:tc>
        <w:tc>
          <w:tcPr>
            <w:tcW w:w="1797" w:type="dxa"/>
            <w:tcBorders>
              <w:top w:val="nil"/>
              <w:left w:val="nil"/>
              <w:bottom w:val="single" w:color="auto" w:sz="4" w:space="0"/>
              <w:right w:val="single" w:color="auto" w:sz="4" w:space="0"/>
            </w:tcBorders>
            <w:vAlign w:val="center"/>
          </w:tcPr>
          <w:p w14:paraId="4F6B0F31">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0.000041</w:t>
            </w:r>
          </w:p>
        </w:tc>
      </w:tr>
      <w:tr w14:paraId="17C1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239ABC32">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S（</w:t>
            </w:r>
            <w:r>
              <w:rPr>
                <w:rFonts w:ascii="Times New Roman" w:hAnsi="Times New Roman"/>
                <w:i/>
              </w:rPr>
              <w:t>β</w:t>
            </w:r>
            <w:r>
              <w:rPr>
                <w:rFonts w:ascii="Times New Roman" w:hAnsi="Times New Roman"/>
                <w:i/>
                <w:vertAlign w:val="subscript"/>
              </w:rPr>
              <w:t>1</w:t>
            </w:r>
            <w:r>
              <w:rPr>
                <w:rFonts w:ascii="Times New Roman" w:hAnsi="Times New Roman"/>
              </w:rPr>
              <w:t>）</w:t>
            </w:r>
          </w:p>
        </w:tc>
        <w:tc>
          <w:tcPr>
            <w:tcW w:w="2670" w:type="dxa"/>
            <w:gridSpan w:val="2"/>
            <w:tcBorders>
              <w:top w:val="single" w:color="auto" w:sz="4" w:space="0"/>
              <w:left w:val="single" w:color="auto" w:sz="4" w:space="0"/>
              <w:bottom w:val="single" w:color="auto" w:sz="4" w:space="0"/>
              <w:right w:val="single" w:color="auto" w:sz="4" w:space="0"/>
            </w:tcBorders>
            <w:vAlign w:val="center"/>
          </w:tcPr>
          <w:p w14:paraId="1FBA2E7E">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0.00042</w:t>
            </w:r>
          </w:p>
        </w:tc>
        <w:tc>
          <w:tcPr>
            <w:tcW w:w="1795" w:type="dxa"/>
            <w:vAlign w:val="center"/>
          </w:tcPr>
          <w:p w14:paraId="715B93FA">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S（</w:t>
            </w:r>
            <w:r>
              <w:rPr>
                <w:rFonts w:ascii="Times New Roman" w:hAnsi="Times New Roman"/>
                <w:i/>
              </w:rPr>
              <w:t>β</w:t>
            </w:r>
            <w:r>
              <w:rPr>
                <w:rFonts w:ascii="Times New Roman" w:hAnsi="Times New Roman"/>
                <w:i/>
                <w:vertAlign w:val="subscript"/>
              </w:rPr>
              <w:t>1</w:t>
            </w:r>
            <w:r>
              <w:rPr>
                <w:rFonts w:ascii="Times New Roman" w:hAnsi="Times New Roman"/>
              </w:rPr>
              <w:t>）</w:t>
            </w:r>
          </w:p>
        </w:tc>
        <w:tc>
          <w:tcPr>
            <w:tcW w:w="1795" w:type="dxa"/>
            <w:tcBorders>
              <w:top w:val="nil"/>
              <w:left w:val="single" w:color="auto" w:sz="4" w:space="0"/>
              <w:bottom w:val="single" w:color="auto" w:sz="4" w:space="0"/>
              <w:right w:val="single" w:color="auto" w:sz="4" w:space="0"/>
            </w:tcBorders>
            <w:vAlign w:val="center"/>
          </w:tcPr>
          <w:p w14:paraId="52CB612F">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0.00022 </w:t>
            </w:r>
          </w:p>
        </w:tc>
        <w:tc>
          <w:tcPr>
            <w:tcW w:w="1797" w:type="dxa"/>
            <w:tcBorders>
              <w:top w:val="nil"/>
              <w:left w:val="nil"/>
              <w:bottom w:val="single" w:color="auto" w:sz="4" w:space="0"/>
              <w:right w:val="single" w:color="auto" w:sz="4" w:space="0"/>
            </w:tcBorders>
            <w:vAlign w:val="center"/>
          </w:tcPr>
          <w:p w14:paraId="6D64A2AE">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0.00036 </w:t>
            </w:r>
          </w:p>
        </w:tc>
      </w:tr>
      <w:tr w14:paraId="6176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0A45BC9B">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S</w:t>
            </w:r>
            <w:r>
              <w:rPr>
                <w:rFonts w:ascii="Times New Roman" w:hAnsi="Times New Roman"/>
                <w:vertAlign w:val="subscript"/>
              </w:rPr>
              <w:t>t</w:t>
            </w:r>
          </w:p>
        </w:tc>
        <w:tc>
          <w:tcPr>
            <w:tcW w:w="2670" w:type="dxa"/>
            <w:gridSpan w:val="2"/>
            <w:tcBorders>
              <w:top w:val="single" w:color="auto" w:sz="4" w:space="0"/>
              <w:left w:val="single" w:color="auto" w:sz="4" w:space="0"/>
              <w:bottom w:val="single" w:color="auto" w:sz="4" w:space="0"/>
              <w:right w:val="single" w:color="auto" w:sz="4" w:space="0"/>
            </w:tcBorders>
            <w:vAlign w:val="center"/>
          </w:tcPr>
          <w:p w14:paraId="3742D6A2">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0.0025</w:t>
            </w:r>
          </w:p>
        </w:tc>
        <w:tc>
          <w:tcPr>
            <w:tcW w:w="1795" w:type="dxa"/>
            <w:vAlign w:val="center"/>
          </w:tcPr>
          <w:p w14:paraId="735CFCD9">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S</w:t>
            </w:r>
            <w:r>
              <w:rPr>
                <w:rFonts w:ascii="Times New Roman" w:hAnsi="Times New Roman"/>
                <w:vertAlign w:val="subscript"/>
              </w:rPr>
              <w:t>t</w:t>
            </w:r>
          </w:p>
        </w:tc>
        <w:tc>
          <w:tcPr>
            <w:tcW w:w="1795" w:type="dxa"/>
            <w:tcBorders>
              <w:top w:val="nil"/>
              <w:left w:val="single" w:color="auto" w:sz="4" w:space="0"/>
              <w:bottom w:val="single" w:color="auto" w:sz="4" w:space="0"/>
              <w:right w:val="single" w:color="auto" w:sz="4" w:space="0"/>
            </w:tcBorders>
            <w:vAlign w:val="center"/>
          </w:tcPr>
          <w:p w14:paraId="1250E383">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0.0015 </w:t>
            </w:r>
          </w:p>
        </w:tc>
        <w:tc>
          <w:tcPr>
            <w:tcW w:w="1797" w:type="dxa"/>
            <w:tcBorders>
              <w:top w:val="nil"/>
              <w:left w:val="nil"/>
              <w:bottom w:val="single" w:color="auto" w:sz="4" w:space="0"/>
              <w:right w:val="single" w:color="auto" w:sz="4" w:space="0"/>
            </w:tcBorders>
            <w:vAlign w:val="center"/>
          </w:tcPr>
          <w:p w14:paraId="61EF13D2">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0.0025 </w:t>
            </w:r>
          </w:p>
        </w:tc>
      </w:tr>
      <w:tr w14:paraId="2579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Align w:val="center"/>
          </w:tcPr>
          <w:p w14:paraId="6D057B20">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u</w:t>
            </w:r>
            <w:r>
              <w:rPr>
                <w:rFonts w:ascii="Times New Roman" w:hAnsi="Times New Roman"/>
                <w:vertAlign w:val="subscript"/>
              </w:rPr>
              <w:t>lts</w:t>
            </w:r>
          </w:p>
        </w:tc>
        <w:tc>
          <w:tcPr>
            <w:tcW w:w="2670" w:type="dxa"/>
            <w:gridSpan w:val="2"/>
            <w:tcBorders>
              <w:top w:val="single" w:color="auto" w:sz="4" w:space="0"/>
              <w:left w:val="single" w:color="auto" w:sz="4" w:space="0"/>
              <w:bottom w:val="single" w:color="auto" w:sz="4" w:space="0"/>
              <w:right w:val="single" w:color="auto" w:sz="4" w:space="0"/>
            </w:tcBorders>
            <w:vAlign w:val="center"/>
          </w:tcPr>
          <w:p w14:paraId="51C29C75">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0.0025</w:t>
            </w:r>
          </w:p>
        </w:tc>
        <w:tc>
          <w:tcPr>
            <w:tcW w:w="1795" w:type="dxa"/>
            <w:vAlign w:val="center"/>
          </w:tcPr>
          <w:p w14:paraId="05610B14">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u</w:t>
            </w:r>
            <w:r>
              <w:rPr>
                <w:rFonts w:ascii="Times New Roman" w:hAnsi="Times New Roman"/>
                <w:vertAlign w:val="subscript"/>
              </w:rPr>
              <w:t>lts</w:t>
            </w:r>
          </w:p>
        </w:tc>
        <w:tc>
          <w:tcPr>
            <w:tcW w:w="1795" w:type="dxa"/>
            <w:tcBorders>
              <w:top w:val="nil"/>
              <w:left w:val="single" w:color="auto" w:sz="4" w:space="0"/>
              <w:bottom w:val="single" w:color="auto" w:sz="4" w:space="0"/>
              <w:right w:val="single" w:color="auto" w:sz="4" w:space="0"/>
            </w:tcBorders>
            <w:vAlign w:val="center"/>
          </w:tcPr>
          <w:p w14:paraId="1D2FB88D">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0.0015 </w:t>
            </w:r>
          </w:p>
        </w:tc>
        <w:tc>
          <w:tcPr>
            <w:tcW w:w="1797" w:type="dxa"/>
            <w:tcBorders>
              <w:top w:val="nil"/>
              <w:left w:val="nil"/>
              <w:bottom w:val="single" w:color="auto" w:sz="4" w:space="0"/>
              <w:right w:val="single" w:color="auto" w:sz="4" w:space="0"/>
            </w:tcBorders>
            <w:vAlign w:val="center"/>
          </w:tcPr>
          <w:p w14:paraId="6616A039">
            <w:pPr>
              <w:widowControl/>
              <w:kinsoku w:val="0"/>
              <w:autoSpaceDE w:val="0"/>
              <w:autoSpaceDN w:val="0"/>
              <w:snapToGrid w:val="0"/>
              <w:spacing w:before="78" w:beforeLines="25" w:line="360" w:lineRule="auto"/>
              <w:jc w:val="center"/>
              <w:textAlignment w:val="baseline"/>
              <w:rPr>
                <w:rFonts w:ascii="Times New Roman" w:hAnsi="Times New Roman"/>
              </w:rPr>
            </w:pPr>
            <w:r>
              <w:rPr>
                <w:rFonts w:ascii="Times New Roman" w:hAnsi="Times New Roman"/>
              </w:rPr>
              <w:t xml:space="preserve">0.0025 </w:t>
            </w:r>
          </w:p>
        </w:tc>
      </w:tr>
    </w:tbl>
    <w:p w14:paraId="6AC24A91">
      <w:pPr>
        <w:spacing w:line="360" w:lineRule="auto"/>
        <w:ind w:firstLine="420"/>
        <w:rPr>
          <w:rFonts w:ascii="Times New Roman" w:hAnsi="Times New Roman"/>
        </w:rPr>
      </w:pPr>
      <w:r>
        <w:rPr>
          <w:rFonts w:ascii="Times New Roman" w:hAnsi="Times New Roman"/>
        </w:rPr>
        <w:t>根据导则35，稳定性统计检验公式如下所示：</w:t>
      </w:r>
    </w:p>
    <w:p w14:paraId="413D30EC">
      <w:pPr>
        <w:spacing w:line="360" w:lineRule="auto"/>
        <w:ind w:firstLine="420"/>
        <w:rPr>
          <w:rFonts w:ascii="Times New Roman" w:hAnsi="Times New Roman"/>
        </w:rPr>
      </w:pPr>
      <w:r>
        <w:rPr>
          <w:rFonts w:ascii="Times New Roman" w:hAnsi="Times New Roman"/>
        </w:rPr>
        <w:t>斜率可用下式计算：</w:t>
      </w:r>
    </w:p>
    <w:p w14:paraId="58F993A5">
      <w:pPr>
        <w:spacing w:line="360" w:lineRule="auto"/>
        <w:ind w:firstLine="420"/>
        <w:rPr>
          <w:rFonts w:ascii="Times New Roman" w:hAnsi="Times New Roman"/>
        </w:rPr>
      </w:pPr>
      <m:oMathPara>
        <m:oMath>
          <m:sSub>
            <m:sSubPr>
              <m:ctrlPr>
                <w:rPr>
                  <w:rFonts w:ascii="Cambria Math" w:hAnsi="Cambria Math"/>
                  <w:i/>
                </w:rPr>
              </m:ctrlPr>
            </m:sSubPr>
            <m:e>
              <m:r>
                <m:rPr>
                  <m:nor/>
                </m:rPr>
                <w:rPr>
                  <w:rFonts w:ascii="Times New Roman" w:hAnsi="Times New Roman"/>
                  <w:i/>
                </w:rPr>
                <m:t>β</m:t>
              </m:r>
              <m:ctrlPr>
                <w:rPr>
                  <w:rFonts w:ascii="Cambria Math" w:hAnsi="Cambria Math"/>
                  <w:i/>
                </w:rPr>
              </m:ctrlPr>
            </m:e>
            <m:sub>
              <m:r>
                <m:rPr>
                  <m:nor/>
                  <m:sty m:val="p"/>
                </m:rPr>
                <w:rPr>
                  <w:rFonts w:ascii="Times New Roman" w:hAnsi="Times New Roman"/>
                  <w:b w:val="0"/>
                  <w:i w:val="0"/>
                </w:rPr>
                <m:t>1</m:t>
              </m:r>
              <m:ctrlPr>
                <w:rPr>
                  <w:rFonts w:ascii="Cambria Math" w:hAnsi="Cambria Math"/>
                  <w:i/>
                </w:rPr>
              </m:ctrlPr>
            </m:sub>
          </m:sSub>
          <m:r>
            <m:rPr>
              <m:nor/>
              <m:sty m:val="p"/>
            </m:rPr>
            <w:rPr>
              <w:rFonts w:ascii="Times New Roman" w:hAnsi="Times New Roman"/>
              <w:b w:val="0"/>
              <w:i w:val="0"/>
            </w:rPr>
            <m:t>=</m:t>
          </m:r>
          <m:f>
            <m:fPr>
              <m:ctrlPr>
                <w:rPr>
                  <w:rFonts w:ascii="Cambria Math" w:hAnsi="Cambria Math"/>
                </w:rPr>
              </m:ctrlPr>
            </m:fPr>
            <m:num>
              <m:nary>
                <m:naryPr>
                  <m:chr m:val="∑"/>
                  <m:limLoc m:val="subSup"/>
                  <m:ctrlPr>
                    <w:rPr>
                      <w:rFonts w:ascii="Cambria Math" w:hAnsi="Cambria Math"/>
                    </w:rPr>
                  </m:ctrlPr>
                </m:naryPr>
                <m:sub>
                  <m:r>
                    <m:rPr>
                      <m:nor/>
                      <m:sty m:val="p"/>
                    </m:rPr>
                    <w:rPr>
                      <w:rFonts w:ascii="Times New Roman" w:hAnsi="Times New Roman"/>
                      <w:b w:val="0"/>
                      <w:i w:val="0"/>
                    </w:rPr>
                    <m:t>i=1</m:t>
                  </m:r>
                  <m:ctrlPr>
                    <w:rPr>
                      <w:rFonts w:ascii="Cambria Math" w:hAnsi="Cambria Math"/>
                    </w:rPr>
                  </m:ctrlPr>
                </m:sub>
                <m:sup>
                  <m:r>
                    <m:rPr>
                      <m:nor/>
                      <m:sty m:val="p"/>
                    </m:rPr>
                    <w:rPr>
                      <w:rFonts w:ascii="Times New Roman" w:hAnsi="Times New Roman"/>
                      <w:b w:val="0"/>
                      <w:i w:val="0"/>
                    </w:rPr>
                    <m:t>n</m:t>
                  </m:r>
                  <m:ctrlPr>
                    <w:rPr>
                      <w:rFonts w:ascii="Cambria Math" w:hAnsi="Cambria Math"/>
                    </w:rPr>
                  </m:ctrlPr>
                </m:sup>
                <m:e>
                  <m:r>
                    <m:rPr>
                      <m:nor/>
                      <m:sty m:val="p"/>
                    </m:rPr>
                    <w:rPr>
                      <w:rFonts w:ascii="Times New Roman" w:hAnsi="Times New Roman"/>
                      <w:b w:val="0"/>
                      <w:i w:val="0"/>
                    </w:rPr>
                    <m:t>(</m:t>
                  </m:r>
                  <m:acc>
                    <m:accPr>
                      <m:chr m:val="̅"/>
                      <m:ctrlPr>
                        <w:rPr>
                          <w:rFonts w:ascii="Cambria Math" w:hAnsi="Cambria Math"/>
                        </w:rPr>
                      </m:ctrlPr>
                    </m:accPr>
                    <m:e>
                      <m:sSub>
                        <m:sSubPr>
                          <m:ctrlPr>
                            <w:rPr>
                              <w:rFonts w:ascii="Cambria Math" w:hAnsi="Cambria Math"/>
                            </w:rPr>
                          </m:ctrlPr>
                        </m:sSubPr>
                        <m:e>
                          <m:r>
                            <m:rPr>
                              <m:nor/>
                              <m:sty m:val="p"/>
                            </m:rPr>
                            <w:rPr>
                              <w:rFonts w:ascii="Times New Roman" w:hAnsi="Times New Roman"/>
                              <w:b w:val="0"/>
                              <w:i w:val="0"/>
                            </w:rPr>
                            <m:t>x</m:t>
                          </m:r>
                          <m:ctrlPr>
                            <w:rPr>
                              <w:rFonts w:ascii="Cambria Math" w:hAnsi="Cambria Math"/>
                            </w:rPr>
                          </m:ctrlPr>
                        </m:e>
                        <m:sub>
                          <m:r>
                            <m:rPr>
                              <m:nor/>
                              <m:sty m:val="p"/>
                            </m:rPr>
                            <w:rPr>
                              <w:rFonts w:ascii="Times New Roman" w:hAnsi="Times New Roman"/>
                              <w:b w:val="0"/>
                              <w:i w:val="0"/>
                            </w:rPr>
                            <m:t>i</m:t>
                          </m:r>
                          <m:ctrlPr>
                            <w:rPr>
                              <w:rFonts w:ascii="Cambria Math" w:hAnsi="Cambria Math"/>
                            </w:rPr>
                          </m:ctrlPr>
                        </m:sub>
                      </m:sSub>
                      <m:ctrlPr>
                        <w:rPr>
                          <w:rFonts w:ascii="Cambria Math" w:hAnsi="Cambria Math"/>
                        </w:rPr>
                      </m:ctrlPr>
                    </m:e>
                  </m:acc>
                  <m:r>
                    <m:rPr>
                      <m:nor/>
                      <m:sty m:val="p"/>
                    </m:rPr>
                    <w:rPr>
                      <w:rFonts w:ascii="Times New Roman" w:hAnsi="Times New Roman"/>
                      <w:b w:val="0"/>
                      <w:i w:val="0"/>
                    </w:rPr>
                    <m:t>-</m:t>
                  </m:r>
                  <m:acc>
                    <m:accPr>
                      <m:chr m:val="̅"/>
                      <m:ctrlPr>
                        <w:rPr>
                          <w:rFonts w:ascii="Cambria Math" w:hAnsi="Cambria Math"/>
                        </w:rPr>
                      </m:ctrlPr>
                    </m:accPr>
                    <m:e>
                      <m:r>
                        <m:rPr>
                          <m:nor/>
                          <m:sty m:val="p"/>
                        </m:rPr>
                        <w:rPr>
                          <w:rFonts w:ascii="Times New Roman" w:hAnsi="Times New Roman"/>
                          <w:b w:val="0"/>
                          <w:i w:val="0"/>
                        </w:rPr>
                        <m:t>x</m:t>
                      </m:r>
                      <m:ctrlPr>
                        <w:rPr>
                          <w:rFonts w:ascii="Cambria Math" w:hAnsi="Cambria Math"/>
                        </w:rPr>
                      </m:ctrlPr>
                    </m:e>
                  </m:acc>
                  <m:r>
                    <m:rPr>
                      <m:nor/>
                      <m:sty m:val="p"/>
                    </m:rPr>
                    <w:rPr>
                      <w:rFonts w:ascii="Times New Roman" w:hAnsi="Times New Roman"/>
                      <w:b w:val="0"/>
                      <w:i w:val="0"/>
                    </w:rPr>
                    <m:t>)(</m:t>
                  </m:r>
                  <m:sSub>
                    <m:sSubPr>
                      <m:ctrlPr>
                        <w:rPr>
                          <w:rFonts w:ascii="Cambria Math" w:hAnsi="Cambria Math"/>
                        </w:rPr>
                      </m:ctrlPr>
                    </m:sSubPr>
                    <m:e>
                      <m:r>
                        <m:rPr>
                          <m:nor/>
                          <m:sty m:val="p"/>
                        </m:rPr>
                        <w:rPr>
                          <w:rFonts w:ascii="Times New Roman" w:hAnsi="Times New Roman"/>
                          <w:b w:val="0"/>
                          <w:i w:val="0"/>
                        </w:rPr>
                        <m:t>Y</m:t>
                      </m:r>
                      <m:ctrlPr>
                        <w:rPr>
                          <w:rFonts w:ascii="Cambria Math" w:hAnsi="Cambria Math"/>
                        </w:rPr>
                      </m:ctrlPr>
                    </m:e>
                    <m:sub>
                      <m:r>
                        <m:rPr>
                          <m:nor/>
                          <m:sty m:val="p"/>
                        </m:rPr>
                        <w:rPr>
                          <w:rFonts w:ascii="Times New Roman" w:hAnsi="Times New Roman"/>
                          <w:b w:val="0"/>
                          <w:i w:val="0"/>
                        </w:rPr>
                        <m:t>i</m:t>
                      </m:r>
                      <m:ctrlPr>
                        <w:rPr>
                          <w:rFonts w:ascii="Cambria Math" w:hAnsi="Cambria Math"/>
                        </w:rPr>
                      </m:ctrlPr>
                    </m:sub>
                  </m:sSub>
                  <m:r>
                    <m:rPr>
                      <m:nor/>
                      <m:sty m:val="p"/>
                    </m:rPr>
                    <w:rPr>
                      <w:rFonts w:ascii="Times New Roman" w:hAnsi="Times New Roman"/>
                      <w:b w:val="0"/>
                      <w:i w:val="0"/>
                    </w:rPr>
                    <m:t>-</m:t>
                  </m:r>
                  <m:acc>
                    <m:accPr>
                      <m:chr m:val="̅"/>
                      <m:ctrlPr>
                        <w:rPr>
                          <w:rFonts w:ascii="Cambria Math" w:hAnsi="Cambria Math"/>
                        </w:rPr>
                      </m:ctrlPr>
                    </m:accPr>
                    <m:e>
                      <m:r>
                        <m:rPr>
                          <m:nor/>
                          <m:sty m:val="p"/>
                        </m:rPr>
                        <w:rPr>
                          <w:rFonts w:ascii="Times New Roman" w:hAnsi="Times New Roman"/>
                          <w:b w:val="0"/>
                          <w:i w:val="0"/>
                        </w:rPr>
                        <m:t>Y</m:t>
                      </m:r>
                      <m:ctrlPr>
                        <w:rPr>
                          <w:rFonts w:ascii="Cambria Math" w:hAnsi="Cambria Math"/>
                        </w:rPr>
                      </m:ctrlPr>
                    </m:e>
                  </m:acc>
                  <m:r>
                    <m:rPr>
                      <m:nor/>
                      <m:sty m:val="p"/>
                    </m:rPr>
                    <w:rPr>
                      <w:rFonts w:ascii="Times New Roman" w:hAnsi="Times New Roman"/>
                      <w:b w:val="0"/>
                      <w:i w:val="0"/>
                    </w:rPr>
                    <m:t>)</m:t>
                  </m:r>
                  <m:ctrlPr>
                    <w:rPr>
                      <w:rFonts w:ascii="Cambria Math" w:hAnsi="Cambria Math"/>
                    </w:rPr>
                  </m:ctrlPr>
                </m:e>
              </m:nary>
              <m:ctrlPr>
                <w:rPr>
                  <w:rFonts w:ascii="Cambria Math" w:hAnsi="Cambria Math"/>
                </w:rPr>
              </m:ctrlPr>
            </m:num>
            <m:den>
              <m:nary>
                <m:naryPr>
                  <m:chr m:val="∑"/>
                  <m:limLoc m:val="subSup"/>
                  <m:ctrlPr>
                    <w:rPr>
                      <w:rFonts w:ascii="Cambria Math" w:hAnsi="Cambria Math"/>
                    </w:rPr>
                  </m:ctrlPr>
                </m:naryPr>
                <m:sub>
                  <m:r>
                    <m:rPr>
                      <m:nor/>
                      <m:sty m:val="p"/>
                    </m:rPr>
                    <w:rPr>
                      <w:rFonts w:ascii="Times New Roman" w:hAnsi="Times New Roman"/>
                      <w:b w:val="0"/>
                      <w:i w:val="0"/>
                    </w:rPr>
                    <m:t>i=1</m:t>
                  </m:r>
                  <m:ctrlPr>
                    <w:rPr>
                      <w:rFonts w:ascii="Cambria Math" w:hAnsi="Cambria Math"/>
                    </w:rPr>
                  </m:ctrlPr>
                </m:sub>
                <m:sup>
                  <m:r>
                    <m:rPr>
                      <m:nor/>
                      <m:sty m:val="p"/>
                    </m:rPr>
                    <w:rPr>
                      <w:rFonts w:ascii="Times New Roman" w:hAnsi="Times New Roman"/>
                      <w:b w:val="0"/>
                      <w:i w:val="0"/>
                    </w:rPr>
                    <m:t>n</m:t>
                  </m:r>
                  <m:ctrlPr>
                    <w:rPr>
                      <w:rFonts w:ascii="Cambria Math" w:hAnsi="Cambria Math"/>
                    </w:rPr>
                  </m:ctrlPr>
                </m:sup>
                <m:e>
                  <m:sSup>
                    <m:sSupPr>
                      <m:ctrlPr>
                        <w:rPr>
                          <w:rFonts w:ascii="Cambria Math" w:hAnsi="Cambria Math"/>
                        </w:rPr>
                      </m:ctrlPr>
                    </m:sSupPr>
                    <m:e>
                      <m:r>
                        <m:rPr>
                          <m:nor/>
                          <m:sty m:val="p"/>
                        </m:rPr>
                        <w:rPr>
                          <w:rFonts w:ascii="Times New Roman" w:hAnsi="Times New Roman"/>
                          <w:b w:val="0"/>
                          <w:i w:val="0"/>
                        </w:rPr>
                        <m:t>(</m:t>
                      </m:r>
                      <m:acc>
                        <m:accPr>
                          <m:chr m:val="̅"/>
                          <m:ctrlPr>
                            <w:rPr>
                              <w:rFonts w:ascii="Cambria Math" w:hAnsi="Cambria Math"/>
                            </w:rPr>
                          </m:ctrlPr>
                        </m:accPr>
                        <m:e>
                          <m:sSub>
                            <m:sSubPr>
                              <m:ctrlPr>
                                <w:rPr>
                                  <w:rFonts w:ascii="Cambria Math" w:hAnsi="Cambria Math"/>
                                </w:rPr>
                              </m:ctrlPr>
                            </m:sSubPr>
                            <m:e>
                              <m:r>
                                <m:rPr>
                                  <m:nor/>
                                  <m:sty m:val="p"/>
                                </m:rPr>
                                <w:rPr>
                                  <w:rFonts w:ascii="Times New Roman" w:hAnsi="Times New Roman"/>
                                  <w:b w:val="0"/>
                                  <w:i w:val="0"/>
                                </w:rPr>
                                <m:t>x</m:t>
                              </m:r>
                              <m:ctrlPr>
                                <w:rPr>
                                  <w:rFonts w:ascii="Cambria Math" w:hAnsi="Cambria Math"/>
                                </w:rPr>
                              </m:ctrlPr>
                            </m:e>
                            <m:sub>
                              <m:r>
                                <m:rPr>
                                  <m:nor/>
                                  <m:sty m:val="p"/>
                                </m:rPr>
                                <w:rPr>
                                  <w:rFonts w:ascii="Times New Roman" w:hAnsi="Times New Roman"/>
                                  <w:b w:val="0"/>
                                  <w:i w:val="0"/>
                                </w:rPr>
                                <m:t>i</m:t>
                              </m:r>
                              <m:ctrlPr>
                                <w:rPr>
                                  <w:rFonts w:ascii="Cambria Math" w:hAnsi="Cambria Math"/>
                                </w:rPr>
                              </m:ctrlPr>
                            </m:sub>
                          </m:sSub>
                          <m:ctrlPr>
                            <w:rPr>
                              <w:rFonts w:ascii="Cambria Math" w:hAnsi="Cambria Math"/>
                            </w:rPr>
                          </m:ctrlPr>
                        </m:e>
                      </m:acc>
                      <m:r>
                        <m:rPr>
                          <m:nor/>
                          <m:sty m:val="p"/>
                        </m:rPr>
                        <w:rPr>
                          <w:rFonts w:ascii="Times New Roman" w:hAnsi="Times New Roman"/>
                          <w:b w:val="0"/>
                          <w:i w:val="0"/>
                        </w:rPr>
                        <m:t>-</m:t>
                      </m:r>
                      <m:acc>
                        <m:accPr>
                          <m:chr m:val="̅"/>
                          <m:ctrlPr>
                            <w:rPr>
                              <w:rFonts w:ascii="Cambria Math" w:hAnsi="Cambria Math"/>
                            </w:rPr>
                          </m:ctrlPr>
                        </m:accPr>
                        <m:e>
                          <m:r>
                            <m:rPr>
                              <m:nor/>
                              <m:sty m:val="p"/>
                            </m:rPr>
                            <w:rPr>
                              <w:rFonts w:ascii="Times New Roman" w:hAnsi="Times New Roman"/>
                              <w:b w:val="0"/>
                              <w:i w:val="0"/>
                            </w:rPr>
                            <m:t>x</m:t>
                          </m:r>
                          <m:ctrlPr>
                            <w:rPr>
                              <w:rFonts w:ascii="Cambria Math" w:hAnsi="Cambria Math"/>
                            </w:rPr>
                          </m:ctrlPr>
                        </m:e>
                      </m:acc>
                      <m:r>
                        <m:rPr>
                          <m:nor/>
                          <m:sty m:val="p"/>
                        </m:rPr>
                        <w:rPr>
                          <w:rFonts w:ascii="Times New Roman" w:hAnsi="Times New Roman"/>
                          <w:b w:val="0"/>
                          <w:i w:val="0"/>
                        </w:rPr>
                        <m:t>)</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nary>
              <m:ctrlPr>
                <w:rPr>
                  <w:rFonts w:ascii="Cambria Math" w:hAnsi="Cambria Math"/>
                </w:rPr>
              </m:ctrlPr>
            </m:den>
          </m:f>
        </m:oMath>
      </m:oMathPara>
    </w:p>
    <w:p w14:paraId="5E68BC1F">
      <w:pPr>
        <w:spacing w:line="360" w:lineRule="auto"/>
        <w:ind w:firstLine="420"/>
        <w:rPr>
          <w:rFonts w:ascii="Times New Roman" w:hAnsi="Times New Roman"/>
        </w:rPr>
      </w:pPr>
      <w:r>
        <w:rPr>
          <w:rFonts w:ascii="Times New Roman" w:hAnsi="Times New Roman"/>
        </w:rPr>
        <w:t>截距可用下式计算：</w:t>
      </w:r>
    </w:p>
    <w:p w14:paraId="3FDB9058">
      <w:pPr>
        <w:spacing w:line="360" w:lineRule="auto"/>
        <w:ind w:firstLine="420"/>
        <w:rPr>
          <w:rFonts w:ascii="Times New Roman" w:hAnsi="Times New Roman"/>
        </w:rPr>
      </w:pPr>
      <m:oMathPara>
        <m:oMath>
          <m:sSub>
            <m:sSubPr>
              <m:ctrlPr>
                <w:rPr>
                  <w:rFonts w:ascii="Cambria Math" w:hAnsi="Cambria Math"/>
                  <w:i/>
                </w:rPr>
              </m:ctrlPr>
            </m:sSubPr>
            <m:e>
              <m:r>
                <m:rPr>
                  <m:nor/>
                </m:rPr>
                <w:rPr>
                  <w:rFonts w:ascii="Times New Roman" w:hAnsi="Times New Roman"/>
                  <w:i/>
                </w:rPr>
                <m:t>β</m:t>
              </m:r>
              <m:ctrlPr>
                <w:rPr>
                  <w:rFonts w:ascii="Cambria Math" w:hAnsi="Cambria Math"/>
                  <w:i/>
                </w:rPr>
              </m:ctrlPr>
            </m:e>
            <m:sub>
              <m:r>
                <m:rPr>
                  <m:nor/>
                  <m:sty m:val="p"/>
                </m:rPr>
                <w:rPr>
                  <w:rFonts w:ascii="Times New Roman" w:hAnsi="Times New Roman"/>
                  <w:b w:val="0"/>
                  <w:i w:val="0"/>
                </w:rPr>
                <m:t>0</m:t>
              </m:r>
              <m:ctrlPr>
                <w:rPr>
                  <w:rFonts w:ascii="Cambria Math" w:hAnsi="Cambria Math"/>
                  <w:i/>
                </w:rPr>
              </m:ctrlPr>
            </m:sub>
          </m:sSub>
          <m:r>
            <m:rPr>
              <m:nor/>
              <m:sty m:val="p"/>
            </m:rPr>
            <w:rPr>
              <w:rFonts w:ascii="Times New Roman" w:hAnsi="Times New Roman"/>
              <w:b w:val="0"/>
              <w:i w:val="0"/>
            </w:rPr>
            <m:t>=</m:t>
          </m:r>
          <m:acc>
            <m:accPr>
              <m:chr m:val="̅"/>
              <m:ctrlPr>
                <w:rPr>
                  <w:rFonts w:ascii="Cambria Math" w:hAnsi="Cambria Math"/>
                </w:rPr>
              </m:ctrlPr>
            </m:accPr>
            <m:e>
              <m:r>
                <m:rPr>
                  <m:nor/>
                  <m:sty m:val="p"/>
                </m:rPr>
                <w:rPr>
                  <w:rFonts w:ascii="Times New Roman" w:hAnsi="Times New Roman"/>
                  <w:b w:val="0"/>
                  <w:i w:val="0"/>
                </w:rPr>
                <m:t>Y</m:t>
              </m:r>
              <m:ctrlPr>
                <w:rPr>
                  <w:rFonts w:ascii="Cambria Math" w:hAnsi="Cambria Math"/>
                </w:rPr>
              </m:ctrlPr>
            </m:e>
          </m:acc>
          <m:r>
            <m:rPr>
              <m:nor/>
              <m:sty m:val="p"/>
            </m:rPr>
            <w:rPr>
              <w:rFonts w:ascii="Times New Roman" w:hAnsi="Times New Roman"/>
              <w:b w:val="0"/>
              <w:i w:val="0"/>
            </w:rPr>
            <m:t>-</m:t>
          </m:r>
          <m:sSub>
            <m:sSubPr>
              <m:ctrlPr>
                <w:rPr>
                  <w:rFonts w:ascii="Cambria Math" w:hAnsi="Cambria Math"/>
                  <w:i/>
                </w:rPr>
              </m:ctrlPr>
            </m:sSubPr>
            <m:e>
              <m:r>
                <m:rPr>
                  <m:nor/>
                </m:rPr>
                <w:rPr>
                  <w:rFonts w:ascii="Times New Roman" w:hAnsi="Times New Roman"/>
                  <w:i/>
                </w:rPr>
                <m:t>β</m:t>
              </m:r>
              <m:ctrlPr>
                <w:rPr>
                  <w:rFonts w:ascii="Cambria Math" w:hAnsi="Cambria Math"/>
                  <w:i/>
                </w:rPr>
              </m:ctrlPr>
            </m:e>
            <m:sub>
              <m:r>
                <m:rPr>
                  <m:nor/>
                  <m:sty m:val="p"/>
                </m:rPr>
                <w:rPr>
                  <w:rFonts w:ascii="Times New Roman" w:hAnsi="Times New Roman"/>
                  <w:b w:val="0"/>
                  <w:i w:val="0"/>
                </w:rPr>
                <m:t>1</m:t>
              </m:r>
              <m:ctrlPr>
                <w:rPr>
                  <w:rFonts w:ascii="Cambria Math" w:hAnsi="Cambria Math"/>
                  <w:i/>
                </w:rPr>
              </m:ctrlPr>
            </m:sub>
          </m:sSub>
          <m:acc>
            <m:accPr>
              <m:chr m:val="̅"/>
              <m:ctrlPr>
                <w:rPr>
                  <w:rFonts w:ascii="Cambria Math" w:hAnsi="Cambria Math"/>
                </w:rPr>
              </m:ctrlPr>
            </m:accPr>
            <m:e>
              <m:r>
                <m:rPr>
                  <m:nor/>
                  <m:sty m:val="p"/>
                </m:rPr>
                <w:rPr>
                  <w:rFonts w:ascii="Times New Roman" w:hAnsi="Times New Roman"/>
                  <w:b w:val="0"/>
                  <w:i w:val="0"/>
                </w:rPr>
                <m:t>X</m:t>
              </m:r>
              <m:ctrlPr>
                <w:rPr>
                  <w:rFonts w:ascii="Cambria Math" w:hAnsi="Cambria Math"/>
                </w:rPr>
              </m:ctrlPr>
            </m:e>
          </m:acc>
        </m:oMath>
      </m:oMathPara>
    </w:p>
    <w:p w14:paraId="1AD0FF12">
      <w:pPr>
        <w:spacing w:line="360" w:lineRule="auto"/>
        <w:ind w:firstLine="420"/>
        <w:rPr>
          <w:rFonts w:ascii="Times New Roman" w:hAnsi="Times New Roman"/>
        </w:rPr>
      </w:pPr>
      <w:r>
        <w:rPr>
          <w:rFonts w:ascii="Times New Roman" w:hAnsi="Times New Roman"/>
        </w:rPr>
        <w:t>直线上每点的标准偏差可用下式计算：</w:t>
      </w:r>
    </w:p>
    <w:p w14:paraId="24AB357C">
      <w:pPr>
        <w:spacing w:line="360" w:lineRule="auto"/>
        <w:ind w:firstLine="420"/>
        <w:rPr>
          <w:rFonts w:ascii="Times New Roman" w:hAnsi="Times New Roman"/>
        </w:rPr>
      </w:pPr>
      <m:oMathPara>
        <m:oMath>
          <m:sSup>
            <m:sSupPr>
              <m:ctrlPr>
                <w:rPr>
                  <w:rFonts w:ascii="Cambria Math" w:hAnsi="Cambria Math"/>
                  <w:i/>
                </w:rPr>
              </m:ctrlPr>
            </m:sSupPr>
            <m:e>
              <m:r>
                <m:rPr>
                  <m:nor/>
                </m:rPr>
                <w:rPr>
                  <w:rFonts w:ascii="Times New Roman" w:hAnsi="Times New Roman"/>
                  <w:i/>
                </w:rPr>
                <m:t>s</m:t>
              </m:r>
              <m:ctrlPr>
                <w:rPr>
                  <w:rFonts w:ascii="Cambria Math" w:hAnsi="Cambria Math"/>
                  <w:i/>
                </w:rPr>
              </m:ctrlPr>
            </m:e>
            <m:sup>
              <m:r>
                <m:rPr>
                  <m:nor/>
                  <m:sty m:val="p"/>
                </m:rPr>
                <w:rPr>
                  <w:rFonts w:ascii="Times New Roman" w:hAnsi="Times New Roman"/>
                  <w:b w:val="0"/>
                  <w:i w:val="0"/>
                </w:rPr>
                <m:t>2</m:t>
              </m:r>
              <m:ctrlPr>
                <w:rPr>
                  <w:rFonts w:ascii="Cambria Math" w:hAnsi="Cambria Math"/>
                  <w:i/>
                </w:rPr>
              </m:ctrlPr>
            </m:sup>
          </m:sSup>
          <m:r>
            <m:rPr>
              <m:nor/>
              <m:sty m:val="p"/>
            </m:rPr>
            <w:rPr>
              <w:rFonts w:ascii="Times New Roman" w:hAnsi="Times New Roman"/>
              <w:b w:val="0"/>
              <w:i w:val="0"/>
            </w:rPr>
            <m:t>=</m:t>
          </m:r>
          <m:f>
            <m:fPr>
              <m:ctrlPr>
                <w:rPr>
                  <w:rFonts w:ascii="Cambria Math" w:hAnsi="Cambria Math"/>
                </w:rPr>
              </m:ctrlPr>
            </m:fPr>
            <m:num>
              <m:nary>
                <m:naryPr>
                  <m:chr m:val="∑"/>
                  <m:limLoc m:val="subSup"/>
                  <m:ctrlPr>
                    <w:rPr>
                      <w:rFonts w:ascii="Cambria Math" w:hAnsi="Cambria Math"/>
                    </w:rPr>
                  </m:ctrlPr>
                </m:naryPr>
                <m:sub>
                  <m:r>
                    <m:rPr>
                      <m:nor/>
                      <m:sty m:val="p"/>
                    </m:rPr>
                    <w:rPr>
                      <w:rFonts w:ascii="Times New Roman" w:hAnsi="Times New Roman"/>
                      <w:b w:val="0"/>
                      <w:i w:val="0"/>
                    </w:rPr>
                    <m:t>i=1</m:t>
                  </m:r>
                  <m:ctrlPr>
                    <w:rPr>
                      <w:rFonts w:ascii="Cambria Math" w:hAnsi="Cambria Math"/>
                    </w:rPr>
                  </m:ctrlPr>
                </m:sub>
                <m:sup>
                  <m:r>
                    <m:rPr>
                      <m:nor/>
                      <m:sty m:val="p"/>
                    </m:rPr>
                    <w:rPr>
                      <w:rFonts w:ascii="Times New Roman" w:hAnsi="Times New Roman"/>
                      <w:b w:val="0"/>
                      <w:i w:val="0"/>
                    </w:rPr>
                    <m:t>n</m:t>
                  </m:r>
                  <m:ctrlPr>
                    <w:rPr>
                      <w:rFonts w:ascii="Cambria Math" w:hAnsi="Cambria Math"/>
                    </w:rPr>
                  </m:ctrlPr>
                </m:sup>
                <m:e>
                  <m:sSup>
                    <m:sSupPr>
                      <m:ctrlPr>
                        <w:rPr>
                          <w:rFonts w:ascii="Cambria Math" w:hAnsi="Cambria Math"/>
                        </w:rPr>
                      </m:ctrlPr>
                    </m:sSupPr>
                    <m:e>
                      <m:r>
                        <m:rPr>
                          <m:nor/>
                          <m:sty m:val="p"/>
                        </m:rPr>
                        <w:rPr>
                          <w:rFonts w:ascii="Times New Roman" w:hAnsi="Times New Roman"/>
                          <w:b w:val="0"/>
                          <w:i w:val="0"/>
                        </w:rPr>
                        <m:t>(</m:t>
                      </m:r>
                      <m:sSub>
                        <m:sSubPr>
                          <m:ctrlPr>
                            <w:rPr>
                              <w:rFonts w:ascii="Cambria Math" w:hAnsi="Cambria Math"/>
                            </w:rPr>
                          </m:ctrlPr>
                        </m:sSubPr>
                        <m:e>
                          <m:r>
                            <m:rPr>
                              <m:nor/>
                              <m:sty m:val="p"/>
                            </m:rPr>
                            <w:rPr>
                              <w:rFonts w:ascii="Times New Roman" w:hAnsi="Times New Roman"/>
                              <w:b w:val="0"/>
                              <w:i w:val="0"/>
                            </w:rPr>
                            <m:t>Y</m:t>
                          </m:r>
                          <m:ctrlPr>
                            <w:rPr>
                              <w:rFonts w:ascii="Cambria Math" w:hAnsi="Cambria Math"/>
                            </w:rPr>
                          </m:ctrlPr>
                        </m:e>
                        <m:sub>
                          <m:r>
                            <m:rPr>
                              <m:nor/>
                              <m:sty m:val="p"/>
                            </m:rPr>
                            <w:rPr>
                              <w:rFonts w:ascii="Times New Roman" w:hAnsi="Times New Roman"/>
                              <w:b w:val="0"/>
                              <w:i w:val="0"/>
                            </w:rPr>
                            <m:t>i</m:t>
                          </m:r>
                          <m:ctrlPr>
                            <w:rPr>
                              <w:rFonts w:ascii="Cambria Math" w:hAnsi="Cambria Math"/>
                            </w:rPr>
                          </m:ctrlPr>
                        </m:sub>
                      </m:sSub>
                      <m:r>
                        <m:rPr>
                          <m:nor/>
                          <m:sty m:val="p"/>
                        </m:rPr>
                        <w:rPr>
                          <w:rFonts w:ascii="Times New Roman" w:hAnsi="Times New Roman"/>
                          <w:b w:val="0"/>
                          <w:i w:val="0"/>
                        </w:rPr>
                        <m:t>-</m:t>
                      </m:r>
                      <m:sSub>
                        <m:sSubPr>
                          <m:ctrlPr>
                            <w:rPr>
                              <w:rFonts w:ascii="Cambria Math" w:hAnsi="Cambria Math"/>
                              <w:i/>
                            </w:rPr>
                          </m:ctrlPr>
                        </m:sSubPr>
                        <m:e>
                          <m:r>
                            <m:rPr>
                              <m:nor/>
                            </m:rPr>
                            <w:rPr>
                              <w:rFonts w:ascii="Times New Roman" w:hAnsi="Times New Roman"/>
                              <w:i/>
                            </w:rPr>
                            <m:t>β</m:t>
                          </m:r>
                          <m:ctrlPr>
                            <w:rPr>
                              <w:rFonts w:ascii="Cambria Math" w:hAnsi="Cambria Math"/>
                              <w:i/>
                            </w:rPr>
                          </m:ctrlPr>
                        </m:e>
                        <m:sub>
                          <m:r>
                            <m:rPr>
                              <m:nor/>
                              <m:sty m:val="p"/>
                            </m:rPr>
                            <w:rPr>
                              <w:rFonts w:ascii="Times New Roman" w:hAnsi="Times New Roman"/>
                              <w:b w:val="0"/>
                              <w:i w:val="0"/>
                            </w:rPr>
                            <m:t>0</m:t>
                          </m:r>
                          <m:ctrlPr>
                            <w:rPr>
                              <w:rFonts w:ascii="Cambria Math" w:hAnsi="Cambria Math"/>
                              <w:i/>
                            </w:rPr>
                          </m:ctrlPr>
                        </m:sub>
                      </m:sSub>
                      <m:r>
                        <m:rPr>
                          <m:nor/>
                          <m:sty m:val="p"/>
                        </m:rPr>
                        <w:rPr>
                          <w:rFonts w:ascii="Times New Roman" w:hAnsi="Times New Roman"/>
                          <w:b w:val="0"/>
                          <w:i w:val="0"/>
                        </w:rPr>
                        <m:t>-</m:t>
                      </m:r>
                      <m:sSub>
                        <m:sSubPr>
                          <m:ctrlPr>
                            <w:rPr>
                              <w:rFonts w:ascii="Cambria Math" w:hAnsi="Cambria Math"/>
                              <w:i/>
                            </w:rPr>
                          </m:ctrlPr>
                        </m:sSubPr>
                        <m:e>
                          <m:r>
                            <m:rPr>
                              <m:nor/>
                            </m:rPr>
                            <w:rPr>
                              <w:rFonts w:ascii="Times New Roman" w:hAnsi="Times New Roman"/>
                              <w:i/>
                            </w:rPr>
                            <m:t>β</m:t>
                          </m:r>
                          <m:ctrlPr>
                            <w:rPr>
                              <w:rFonts w:ascii="Cambria Math" w:hAnsi="Cambria Math"/>
                              <w:i/>
                            </w:rPr>
                          </m:ctrlPr>
                        </m:e>
                        <m:sub>
                          <m:r>
                            <m:rPr>
                              <m:nor/>
                              <m:sty m:val="p"/>
                            </m:rPr>
                            <w:rPr>
                              <w:rFonts w:ascii="Times New Roman" w:hAnsi="Times New Roman"/>
                              <w:b w:val="0"/>
                              <w:i w:val="0"/>
                            </w:rPr>
                            <m:t>1</m:t>
                          </m:r>
                          <m:ctrlPr>
                            <w:rPr>
                              <w:rFonts w:ascii="Cambria Math" w:hAnsi="Cambria Math"/>
                              <w:i/>
                            </w:rPr>
                          </m:ctrlPr>
                        </m:sub>
                      </m:sSub>
                      <m:sSub>
                        <m:sSubPr>
                          <m:ctrlPr>
                            <w:rPr>
                              <w:rFonts w:ascii="Cambria Math" w:hAnsi="Cambria Math"/>
                            </w:rPr>
                          </m:ctrlPr>
                        </m:sSubPr>
                        <m:e>
                          <m:r>
                            <m:rPr>
                              <m:nor/>
                              <m:sty m:val="p"/>
                            </m:rPr>
                            <w:rPr>
                              <w:rFonts w:ascii="Times New Roman" w:hAnsi="Times New Roman"/>
                              <w:b w:val="0"/>
                              <w:i w:val="0"/>
                            </w:rPr>
                            <m:t>x</m:t>
                          </m:r>
                          <m:ctrlPr>
                            <w:rPr>
                              <w:rFonts w:ascii="Cambria Math" w:hAnsi="Cambria Math"/>
                            </w:rPr>
                          </m:ctrlPr>
                        </m:e>
                        <m:sub>
                          <m:r>
                            <m:rPr>
                              <m:nor/>
                              <m:sty m:val="p"/>
                            </m:rPr>
                            <w:rPr>
                              <w:rFonts w:ascii="Times New Roman" w:hAnsi="Times New Roman"/>
                              <w:b w:val="0"/>
                              <w:i w:val="0"/>
                            </w:rPr>
                            <m:t>i</m:t>
                          </m:r>
                          <m:ctrlPr>
                            <w:rPr>
                              <w:rFonts w:ascii="Cambria Math" w:hAnsi="Cambria Math"/>
                            </w:rPr>
                          </m:ctrlPr>
                        </m:sub>
                      </m:sSub>
                      <m:r>
                        <m:rPr>
                          <m:nor/>
                          <m:sty m:val="p"/>
                        </m:rPr>
                        <w:rPr>
                          <w:rFonts w:ascii="Times New Roman" w:hAnsi="Times New Roman"/>
                          <w:b w:val="0"/>
                          <w:i w:val="0"/>
                        </w:rPr>
                        <m:t>)</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nary>
              <m:ctrlPr>
                <w:rPr>
                  <w:rFonts w:ascii="Cambria Math" w:hAnsi="Cambria Math"/>
                </w:rPr>
              </m:ctrlPr>
            </m:num>
            <m:den>
              <m:r>
                <m:rPr>
                  <m:nor/>
                  <m:sty m:val="p"/>
                </m:rPr>
                <w:rPr>
                  <w:rFonts w:ascii="Times New Roman" w:hAnsi="Times New Roman"/>
                  <w:b w:val="0"/>
                  <w:i w:val="0"/>
                </w:rPr>
                <m:t>n-2</m:t>
              </m:r>
              <m:ctrlPr>
                <w:rPr>
                  <w:rFonts w:ascii="Cambria Math" w:hAnsi="Cambria Math"/>
                </w:rPr>
              </m:ctrlPr>
            </m:den>
          </m:f>
        </m:oMath>
      </m:oMathPara>
    </w:p>
    <w:p w14:paraId="60E8931E">
      <w:pPr>
        <w:spacing w:line="360" w:lineRule="auto"/>
        <w:ind w:firstLine="420"/>
        <w:rPr>
          <w:rFonts w:ascii="Times New Roman" w:hAnsi="Times New Roman"/>
        </w:rPr>
      </w:pPr>
      <w:r>
        <w:rPr>
          <w:rFonts w:ascii="Times New Roman" w:hAnsi="Times New Roman"/>
        </w:rPr>
        <w:t>与斜率相关的不确定度可用下式计算：</w:t>
      </w:r>
    </w:p>
    <w:p w14:paraId="1BB71754">
      <w:pPr>
        <w:spacing w:line="360" w:lineRule="auto"/>
        <w:ind w:firstLine="420"/>
        <w:rPr>
          <w:rFonts w:ascii="Times New Roman" w:hAnsi="Times New Roman"/>
        </w:rPr>
      </w:pPr>
      <m:oMathPara>
        <m:oMath>
          <m:r>
            <m:rPr>
              <m:nor/>
            </m:rPr>
            <w:rPr>
              <w:rFonts w:ascii="Times New Roman" w:hAnsi="Times New Roman"/>
              <w:i/>
            </w:rPr>
            <m:t>s</m:t>
          </m:r>
          <m:d>
            <m:dPr>
              <m:ctrlPr>
                <w:rPr>
                  <w:rFonts w:ascii="Cambria Math" w:hAnsi="Cambria Math"/>
                </w:rPr>
              </m:ctrlPr>
            </m:dPr>
            <m:e>
              <m:sSub>
                <m:sSubPr>
                  <m:ctrlPr>
                    <w:rPr>
                      <w:rFonts w:ascii="Cambria Math" w:hAnsi="Cambria Math"/>
                      <w:i/>
                    </w:rPr>
                  </m:ctrlPr>
                </m:sSubPr>
                <m:e>
                  <m:r>
                    <m:rPr>
                      <m:nor/>
                    </m:rPr>
                    <w:rPr>
                      <w:rFonts w:ascii="Times New Roman" w:hAnsi="Times New Roman"/>
                      <w:i/>
                    </w:rPr>
                    <m:t>β</m:t>
                  </m:r>
                  <m:ctrlPr>
                    <w:rPr>
                      <w:rFonts w:ascii="Cambria Math" w:hAnsi="Cambria Math"/>
                      <w:i/>
                    </w:rPr>
                  </m:ctrlPr>
                </m:e>
                <m:sub>
                  <m:r>
                    <m:rPr>
                      <m:nor/>
                      <m:sty m:val="p"/>
                    </m:rPr>
                    <w:rPr>
                      <w:rFonts w:ascii="Times New Roman" w:hAnsi="Times New Roman"/>
                      <w:b w:val="0"/>
                      <w:i w:val="0"/>
                    </w:rPr>
                    <m:t>1</m:t>
                  </m:r>
                  <m:ctrlPr>
                    <w:rPr>
                      <w:rFonts w:ascii="Cambria Math" w:hAnsi="Cambria Math"/>
                      <w:i/>
                    </w:rPr>
                  </m:ctrlPr>
                </m:sub>
              </m:sSub>
              <m:ctrlPr>
                <w:rPr>
                  <w:rFonts w:ascii="Cambria Math" w:hAnsi="Cambria Math"/>
                </w:rPr>
              </m:ctrlPr>
            </m:e>
          </m:d>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s</m:t>
              </m:r>
              <m:ctrlPr>
                <w:rPr>
                  <w:rFonts w:ascii="Cambria Math" w:hAnsi="Cambria Math"/>
                </w:rPr>
              </m:ctrlPr>
            </m:num>
            <m:den>
              <m:rad>
                <m:radPr>
                  <m:degHide m:val="1"/>
                  <m:ctrlPr>
                    <w:rPr>
                      <w:rFonts w:ascii="Cambria Math" w:hAnsi="Cambria Math"/>
                    </w:rPr>
                  </m:ctrlPr>
                </m:radPr>
                <m:deg>
                  <m:ctrlPr>
                    <w:rPr>
                      <w:rFonts w:ascii="Cambria Math" w:hAnsi="Cambria Math"/>
                    </w:rPr>
                  </m:ctrlPr>
                </m:deg>
                <m:e>
                  <m:nary>
                    <m:naryPr>
                      <m:chr m:val="∑"/>
                      <m:limLoc m:val="subSup"/>
                      <m:ctrlPr>
                        <w:rPr>
                          <w:rFonts w:ascii="Cambria Math" w:hAnsi="Cambria Math"/>
                        </w:rPr>
                      </m:ctrlPr>
                    </m:naryPr>
                    <m:sub>
                      <m:r>
                        <m:rPr>
                          <m:nor/>
                          <m:sty m:val="p"/>
                        </m:rPr>
                        <w:rPr>
                          <w:rFonts w:ascii="Times New Roman" w:hAnsi="Times New Roman"/>
                          <w:b w:val="0"/>
                          <w:i w:val="0"/>
                        </w:rPr>
                        <m:t>i=1</m:t>
                      </m:r>
                      <m:ctrlPr>
                        <w:rPr>
                          <w:rFonts w:ascii="Cambria Math" w:hAnsi="Cambria Math"/>
                        </w:rPr>
                      </m:ctrlPr>
                    </m:sub>
                    <m:sup>
                      <m:r>
                        <m:rPr>
                          <m:nor/>
                          <m:sty m:val="p"/>
                        </m:rPr>
                        <w:rPr>
                          <w:rFonts w:ascii="Times New Roman" w:hAnsi="Times New Roman"/>
                          <w:b w:val="0"/>
                          <w:i w:val="0"/>
                        </w:rPr>
                        <m:t>n</m:t>
                      </m:r>
                      <m:ctrlPr>
                        <w:rPr>
                          <w:rFonts w:ascii="Cambria Math" w:hAnsi="Cambria Math"/>
                        </w:rPr>
                      </m:ctrlPr>
                    </m:sup>
                    <m:e>
                      <m:sSup>
                        <m:sSupPr>
                          <m:ctrlPr>
                            <w:rPr>
                              <w:rFonts w:ascii="Cambria Math" w:hAnsi="Cambria Math"/>
                            </w:rPr>
                          </m:ctrlPr>
                        </m:sSupPr>
                        <m:e>
                          <m:r>
                            <m:rPr>
                              <m:nor/>
                              <m:sty m:val="p"/>
                            </m:rPr>
                            <w:rPr>
                              <w:rFonts w:ascii="Times New Roman" w:hAnsi="Times New Roman"/>
                              <w:b w:val="0"/>
                              <w:i w:val="0"/>
                            </w:rPr>
                            <m:t>(</m:t>
                          </m:r>
                          <m:acc>
                            <m:accPr>
                              <m:chr m:val="̅"/>
                              <m:ctrlPr>
                                <w:rPr>
                                  <w:rFonts w:ascii="Cambria Math" w:hAnsi="Cambria Math"/>
                                </w:rPr>
                              </m:ctrlPr>
                            </m:accPr>
                            <m:e>
                              <m:sSub>
                                <m:sSubPr>
                                  <m:ctrlPr>
                                    <w:rPr>
                                      <w:rFonts w:ascii="Cambria Math" w:hAnsi="Cambria Math"/>
                                    </w:rPr>
                                  </m:ctrlPr>
                                </m:sSubPr>
                                <m:e>
                                  <m:r>
                                    <m:rPr>
                                      <m:nor/>
                                      <m:sty m:val="p"/>
                                    </m:rPr>
                                    <w:rPr>
                                      <w:rFonts w:ascii="Times New Roman" w:hAnsi="Times New Roman"/>
                                      <w:b w:val="0"/>
                                      <w:i w:val="0"/>
                                    </w:rPr>
                                    <m:t>x</m:t>
                                  </m:r>
                                  <m:ctrlPr>
                                    <w:rPr>
                                      <w:rFonts w:ascii="Cambria Math" w:hAnsi="Cambria Math"/>
                                    </w:rPr>
                                  </m:ctrlPr>
                                </m:e>
                                <m:sub>
                                  <m:r>
                                    <m:rPr>
                                      <m:nor/>
                                      <m:sty m:val="p"/>
                                    </m:rPr>
                                    <w:rPr>
                                      <w:rFonts w:ascii="Times New Roman" w:hAnsi="Times New Roman"/>
                                      <w:b w:val="0"/>
                                      <w:i w:val="0"/>
                                    </w:rPr>
                                    <m:t>i</m:t>
                                  </m:r>
                                  <m:ctrlPr>
                                    <w:rPr>
                                      <w:rFonts w:ascii="Cambria Math" w:hAnsi="Cambria Math"/>
                                    </w:rPr>
                                  </m:ctrlPr>
                                </m:sub>
                              </m:sSub>
                              <m:ctrlPr>
                                <w:rPr>
                                  <w:rFonts w:ascii="Cambria Math" w:hAnsi="Cambria Math"/>
                                </w:rPr>
                              </m:ctrlPr>
                            </m:e>
                          </m:acc>
                          <m:r>
                            <m:rPr>
                              <m:nor/>
                              <m:sty m:val="p"/>
                            </m:rPr>
                            <w:rPr>
                              <w:rFonts w:ascii="Times New Roman" w:hAnsi="Times New Roman"/>
                              <w:b w:val="0"/>
                              <w:i w:val="0"/>
                            </w:rPr>
                            <m:t>-</m:t>
                          </m:r>
                          <m:acc>
                            <m:accPr>
                              <m:chr m:val="̅"/>
                              <m:ctrlPr>
                                <w:rPr>
                                  <w:rFonts w:ascii="Cambria Math" w:hAnsi="Cambria Math"/>
                                </w:rPr>
                              </m:ctrlPr>
                            </m:accPr>
                            <m:e>
                              <m:r>
                                <m:rPr>
                                  <m:nor/>
                                  <m:sty m:val="p"/>
                                </m:rPr>
                                <w:rPr>
                                  <w:rFonts w:ascii="Times New Roman" w:hAnsi="Times New Roman"/>
                                  <w:b w:val="0"/>
                                  <w:i w:val="0"/>
                                </w:rPr>
                                <m:t>x</m:t>
                              </m:r>
                              <m:ctrlPr>
                                <w:rPr>
                                  <w:rFonts w:ascii="Cambria Math" w:hAnsi="Cambria Math"/>
                                </w:rPr>
                              </m:ctrlPr>
                            </m:e>
                          </m:acc>
                          <m:r>
                            <m:rPr>
                              <m:nor/>
                              <m:sty m:val="p"/>
                            </m:rPr>
                            <w:rPr>
                              <w:rFonts w:ascii="Times New Roman" w:hAnsi="Times New Roman"/>
                              <w:b w:val="0"/>
                              <w:i w:val="0"/>
                            </w:rPr>
                            <m:t>)</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nary>
                  <m:ctrlPr>
                    <w:rPr>
                      <w:rFonts w:ascii="Cambria Math" w:hAnsi="Cambria Math"/>
                    </w:rPr>
                  </m:ctrlPr>
                </m:e>
              </m:rad>
              <m:ctrlPr>
                <w:rPr>
                  <w:rFonts w:ascii="Cambria Math" w:hAnsi="Cambria Math"/>
                </w:rPr>
              </m:ctrlPr>
            </m:den>
          </m:f>
        </m:oMath>
      </m:oMathPara>
    </w:p>
    <w:p w14:paraId="302C623D">
      <w:pPr>
        <w:spacing w:line="360" w:lineRule="auto"/>
        <w:ind w:firstLine="420"/>
        <w:rPr>
          <w:rFonts w:ascii="Times New Roman" w:hAnsi="Times New Roman"/>
        </w:rPr>
      </w:pPr>
      <w:r>
        <w:rPr>
          <w:rFonts w:ascii="Times New Roman" w:hAnsi="Times New Roman"/>
        </w:rPr>
        <w:t>稳定性引入的不确定度为：</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lts</m:t>
            </m:r>
            <m:ctrlPr>
              <w:rPr>
                <w:rFonts w:ascii="Cambria Math" w:hAnsi="Cambria Math"/>
              </w:rPr>
            </m:ctrlPr>
          </m:sub>
        </m:sSub>
        <m:r>
          <m:rPr>
            <m:nor/>
            <m:sty m:val="p"/>
          </m:rPr>
          <w:rPr>
            <w:rFonts w:ascii="Times New Roman" w:hAnsi="Times New Roman"/>
            <w:b w:val="0"/>
            <w:i w:val="0"/>
          </w:rPr>
          <m:t>=</m:t>
        </m:r>
        <m:sSub>
          <m:sSubPr>
            <m:ctrlPr>
              <w:rPr>
                <w:rFonts w:ascii="Cambria Math" w:hAnsi="Cambria Math"/>
              </w:rPr>
            </m:ctrlPr>
          </m:sSubPr>
          <m:e>
            <m:r>
              <m:rPr>
                <m:nor/>
                <m:sty m:val="p"/>
              </m:rPr>
              <w:rPr>
                <w:rFonts w:ascii="Times New Roman" w:hAnsi="Times New Roman"/>
                <w:b w:val="0"/>
                <w:i w:val="0"/>
              </w:rPr>
              <m:t>s</m:t>
            </m:r>
            <m:ctrlPr>
              <w:rPr>
                <w:rFonts w:ascii="Cambria Math" w:hAnsi="Cambria Math"/>
              </w:rPr>
            </m:ctrlPr>
          </m:e>
          <m:sub>
            <m:r>
              <m:rPr>
                <m:nor/>
                <m:sty m:val="p"/>
              </m:rPr>
              <w:rPr>
                <w:rFonts w:ascii="Times New Roman" w:hAnsi="Times New Roman"/>
                <w:b w:val="0"/>
                <w:i w:val="0"/>
              </w:rPr>
              <m:t>t</m:t>
            </m:r>
            <m:ctrlPr>
              <w:rPr>
                <w:rFonts w:ascii="Cambria Math" w:hAnsi="Cambria Math"/>
              </w:rPr>
            </m:ctrlPr>
          </m:sub>
        </m:sSub>
        <m:r>
          <m:rPr>
            <m:nor/>
            <m:sty m:val="p"/>
          </m:rPr>
          <w:rPr>
            <w:rFonts w:ascii="Times New Roman" w:hAnsi="Times New Roman"/>
            <w:b w:val="0"/>
            <w:i w:val="0"/>
          </w:rPr>
          <m:t>=s</m:t>
        </m:r>
        <m:d>
          <m:dPr>
            <m:ctrlPr>
              <w:rPr>
                <w:rFonts w:ascii="Cambria Math" w:hAnsi="Cambria Math"/>
              </w:rPr>
            </m:ctrlPr>
          </m:dPr>
          <m:e>
            <m:sSub>
              <m:sSubPr>
                <m:ctrlPr>
                  <w:rPr>
                    <w:rFonts w:ascii="Cambria Math" w:hAnsi="Cambria Math"/>
                    <w:i/>
                  </w:rPr>
                </m:ctrlPr>
              </m:sSubPr>
              <m:e>
                <m:r>
                  <m:rPr>
                    <m:nor/>
                  </m:rPr>
                  <w:rPr>
                    <w:rFonts w:ascii="Times New Roman" w:hAnsi="Times New Roman"/>
                    <w:i/>
                  </w:rPr>
                  <m:t>β</m:t>
                </m:r>
                <m:ctrlPr>
                  <w:rPr>
                    <w:rFonts w:ascii="Cambria Math" w:hAnsi="Cambria Math"/>
                    <w:i/>
                  </w:rPr>
                </m:ctrlPr>
              </m:e>
              <m:sub>
                <m:r>
                  <m:rPr>
                    <m:nor/>
                    <m:sty m:val="p"/>
                  </m:rPr>
                  <w:rPr>
                    <w:rFonts w:ascii="Times New Roman" w:hAnsi="Times New Roman"/>
                    <w:b w:val="0"/>
                    <w:i w:val="0"/>
                  </w:rPr>
                  <m:t>1</m:t>
                </m:r>
                <m:ctrlPr>
                  <w:rPr>
                    <w:rFonts w:ascii="Cambria Math" w:hAnsi="Cambria Math"/>
                    <w:i/>
                  </w:rPr>
                </m:ctrlPr>
              </m:sub>
            </m:sSub>
            <m:ctrlPr>
              <w:rPr>
                <w:rFonts w:ascii="Cambria Math" w:hAnsi="Cambria Math"/>
              </w:rPr>
            </m:ctrlPr>
          </m:e>
        </m:d>
        <m:r>
          <m:rPr>
            <m:nor/>
            <m:sty m:val="p"/>
          </m:rPr>
          <w:rPr>
            <w:rFonts w:ascii="Times New Roman" w:hAnsi="Times New Roman"/>
            <w:b w:val="0"/>
            <w:i w:val="0"/>
          </w:rPr>
          <m:t>∙t</m:t>
        </m:r>
      </m:oMath>
      <w:r>
        <w:rPr>
          <w:rFonts w:ascii="Times New Roman" w:hAnsi="Times New Roman"/>
        </w:rPr>
        <w:t>，乳粉中DHA成分分析标准物质长期性稳定性实验引入的相对不确定度为：</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lts,rel</m:t>
            </m:r>
            <m:ctrlPr>
              <w:rPr>
                <w:rFonts w:ascii="Cambria Math" w:hAnsi="Cambria Math"/>
              </w:rPr>
            </m:ctrlPr>
          </m:sub>
        </m:sSub>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0.0025</m:t>
            </m:r>
            <m:ctrlPr>
              <w:rPr>
                <w:rFonts w:ascii="Cambria Math" w:hAnsi="Cambria Math"/>
              </w:rPr>
            </m:ctrlPr>
          </m:num>
          <m:den>
            <m:r>
              <m:rPr>
                <m:nor/>
                <m:sty m:val="p"/>
              </m:rPr>
              <w:rPr>
                <w:rFonts w:ascii="Times New Roman" w:hAnsi="Times New Roman"/>
                <w:b w:val="0"/>
                <w:i w:val="0"/>
              </w:rPr>
              <m:t>0.06885</m:t>
            </m:r>
            <m:ctrlPr>
              <w:rPr>
                <w:rFonts w:ascii="Cambria Math" w:hAnsi="Cambria Math"/>
              </w:rPr>
            </m:ctrlPr>
          </m:den>
        </m:f>
        <m:r>
          <m:rPr>
            <m:nor/>
            <m:sty m:val="p"/>
          </m:rPr>
          <w:rPr>
            <w:rFonts w:ascii="Times New Roman" w:hAnsi="Times New Roman"/>
            <w:b w:val="0"/>
            <w:i w:val="0"/>
          </w:rPr>
          <m:t>=3.674%</m:t>
        </m:r>
      </m:oMath>
      <w:r>
        <w:rPr>
          <w:rFonts w:ascii="Times New Roman" w:hAnsi="Times New Roman"/>
        </w:rPr>
        <w:t>，短期稳定性引入的相对不确定度为：</w:t>
      </w:r>
    </w:p>
    <w:p w14:paraId="31A1C416">
      <w:pPr>
        <w:spacing w:line="360" w:lineRule="auto"/>
        <w:ind w:firstLine="420"/>
        <w:jc w:val="center"/>
        <w:rPr>
          <w:rFonts w:ascii="Times New Roman" w:hAnsi="Times New Roman"/>
        </w:rPr>
      </w:pPr>
      <w:r>
        <w:rPr>
          <w:rFonts w:ascii="Times New Roman" w:hAnsi="Times New Roman"/>
        </w:rPr>
        <w:t>4℃：</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sts,rel</m:t>
            </m:r>
            <m:ctrlPr>
              <w:rPr>
                <w:rFonts w:ascii="Cambria Math" w:hAnsi="Cambria Math"/>
              </w:rPr>
            </m:ctrlPr>
          </m:sub>
        </m:sSub>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0.0015</m:t>
            </m:r>
            <m:ctrlPr>
              <w:rPr>
                <w:rFonts w:ascii="Cambria Math" w:hAnsi="Cambria Math"/>
              </w:rPr>
            </m:ctrlPr>
          </m:num>
          <m:den>
            <m:r>
              <m:rPr>
                <m:nor/>
                <m:sty m:val="p"/>
              </m:rPr>
              <w:rPr>
                <w:rFonts w:ascii="Times New Roman" w:hAnsi="Times New Roman"/>
                <w:b w:val="0"/>
                <w:i w:val="0"/>
              </w:rPr>
              <m:t>0.06885</m:t>
            </m:r>
            <m:ctrlPr>
              <w:rPr>
                <w:rFonts w:ascii="Cambria Math" w:hAnsi="Cambria Math"/>
              </w:rPr>
            </m:ctrlPr>
          </m:den>
        </m:f>
        <m:r>
          <m:rPr>
            <m:nor/>
            <m:sty m:val="p"/>
          </m:rPr>
          <w:rPr>
            <w:rFonts w:ascii="Times New Roman" w:hAnsi="Times New Roman"/>
            <w:b w:val="0"/>
            <w:i w:val="0"/>
          </w:rPr>
          <m:t>=2.194%</m:t>
        </m:r>
      </m:oMath>
    </w:p>
    <w:p w14:paraId="7B34A48E">
      <w:pPr>
        <w:spacing w:line="360" w:lineRule="auto"/>
        <w:ind w:firstLine="420"/>
        <w:jc w:val="center"/>
        <w:rPr>
          <w:rFonts w:ascii="Times New Roman" w:hAnsi="Times New Roman"/>
        </w:rPr>
      </w:pPr>
      <w:r>
        <w:rPr>
          <w:rFonts w:ascii="Times New Roman" w:hAnsi="Times New Roman"/>
        </w:rPr>
        <w:t>50℃：</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sts,rel</m:t>
            </m:r>
            <m:ctrlPr>
              <w:rPr>
                <w:rFonts w:ascii="Cambria Math" w:hAnsi="Cambria Math"/>
              </w:rPr>
            </m:ctrlPr>
          </m:sub>
        </m:sSub>
        <m:r>
          <m:rPr>
            <m:nor/>
            <m:sty m:val="p"/>
          </m:rPr>
          <w:rPr>
            <w:rFonts w:ascii="Times New Roman" w:hAnsi="Times New Roman"/>
            <w:b w:val="0"/>
            <w:i w:val="0"/>
          </w:rPr>
          <m:t>=</m:t>
        </m:r>
        <m:f>
          <m:fPr>
            <m:ctrlPr>
              <w:rPr>
                <w:rFonts w:ascii="Cambria Math" w:hAnsi="Cambria Math"/>
              </w:rPr>
            </m:ctrlPr>
          </m:fPr>
          <m:num>
            <m:r>
              <m:rPr>
                <m:nor/>
                <m:sty m:val="p"/>
              </m:rPr>
              <w:rPr>
                <w:rFonts w:ascii="Times New Roman" w:hAnsi="Times New Roman"/>
                <w:b w:val="0"/>
                <w:i w:val="0"/>
              </w:rPr>
              <m:t>0.0025</m:t>
            </m:r>
            <m:ctrlPr>
              <w:rPr>
                <w:rFonts w:ascii="Cambria Math" w:hAnsi="Cambria Math"/>
              </w:rPr>
            </m:ctrlPr>
          </m:num>
          <m:den>
            <m:r>
              <m:rPr>
                <m:nor/>
                <m:sty m:val="p"/>
              </m:rPr>
              <w:rPr>
                <w:rFonts w:ascii="Times New Roman" w:hAnsi="Times New Roman"/>
                <w:b w:val="0"/>
                <w:i w:val="0"/>
              </w:rPr>
              <m:t>0.06885</m:t>
            </m:r>
            <m:ctrlPr>
              <w:rPr>
                <w:rFonts w:ascii="Cambria Math" w:hAnsi="Cambria Math"/>
              </w:rPr>
            </m:ctrlPr>
          </m:den>
        </m:f>
        <m:r>
          <m:rPr>
            <m:nor/>
            <m:sty m:val="p"/>
          </m:rPr>
          <w:rPr>
            <w:rFonts w:ascii="Times New Roman" w:hAnsi="Times New Roman"/>
            <w:b w:val="0"/>
            <w:i w:val="0"/>
          </w:rPr>
          <m:t>=3.616%</m:t>
        </m:r>
      </m:oMath>
    </w:p>
    <w:p w14:paraId="5D118E21">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.8.</w:t>
      </w:r>
      <w:r>
        <w:rPr>
          <w:rFonts w:hint="eastAsia" w:ascii="Times New Roman" w:hAnsi="Times New Roman" w:eastAsia="黑体"/>
          <w:spacing w:val="-6"/>
        </w:rPr>
        <w:t>4</w:t>
      </w:r>
      <w:r>
        <w:rPr>
          <w:rFonts w:ascii="Times New Roman" w:hAnsi="Times New Roman" w:eastAsia="黑体"/>
          <w:spacing w:val="-6"/>
        </w:rPr>
        <w:t xml:space="preserve"> 标准物质的合成不确定度</w:t>
      </w:r>
    </w:p>
    <w:p w14:paraId="2E96DBAA">
      <w:pPr>
        <w:spacing w:line="360" w:lineRule="auto"/>
        <w:ind w:firstLine="420"/>
        <w:rPr>
          <w:rFonts w:ascii="Times New Roman" w:hAnsi="Times New Roman"/>
        </w:rPr>
      </w:pPr>
      <w:r>
        <w:rPr>
          <w:rFonts w:ascii="Times New Roman" w:hAnsi="Times New Roman"/>
        </w:rPr>
        <w:t>乳粉中DHA成分分析标准物质定值结果的不确定度由定值、标准物质的不均匀性及不稳定性引入的不确定度三部分组成。标准物质的总体不确定度计算公式如下：</w:t>
      </w:r>
    </w:p>
    <w:p w14:paraId="71F6BB6D">
      <w:pPr>
        <w:spacing w:line="360" w:lineRule="auto"/>
        <w:ind w:firstLine="420"/>
        <w:rPr>
          <w:rFonts w:ascii="Times New Roman" w:hAnsi="Times New Roman"/>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CRM,rel</m:t>
              </m:r>
              <m:ctrlPr>
                <w:rPr>
                  <w:rFonts w:ascii="Cambria Math" w:hAnsi="Cambria Math"/>
                </w:rPr>
              </m:ctrlPr>
            </m:sub>
          </m:sSub>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char,rel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bb,rel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lts,rel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sts,rel</m:t>
                      </m:r>
                      <m:ctrlPr>
                        <w:rPr>
                          <w:rFonts w:ascii="Cambria Math" w:hAnsi="Cambria Math"/>
                        </w:rPr>
                      </m:ctrlPr>
                    </m:sub>
                  </m:sSub>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r>
                    <m:rPr>
                      <m:nor/>
                      <m:sty m:val="p"/>
                    </m:rPr>
                    <w:rPr>
                      <w:rFonts w:ascii="Times New Roman" w:hAnsi="Times New Roman"/>
                      <w:b w:val="0"/>
                      <w:i w:val="0"/>
                    </w:rPr>
                    <m:t>(2.004%)</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(1.393%)</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(3.674%)</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sSup>
                <m:sSupPr>
                  <m:ctrlPr>
                    <w:rPr>
                      <w:rFonts w:ascii="Cambria Math" w:hAnsi="Cambria Math"/>
                    </w:rPr>
                  </m:ctrlPr>
                </m:sSupPr>
                <m:e>
                  <m:r>
                    <m:rPr>
                      <m:nor/>
                      <m:sty m:val="p"/>
                    </m:rPr>
                    <w:rPr>
                      <w:rFonts w:ascii="Times New Roman" w:hAnsi="Times New Roman"/>
                      <w:b w:val="0"/>
                      <w:i w:val="0"/>
                    </w:rPr>
                    <m:t>(3.616%)</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ctrlPr>
                <w:rPr>
                  <w:rFonts w:ascii="Cambria Math" w:hAnsi="Cambria Math"/>
                </w:rPr>
              </m:ctrlPr>
            </m:e>
          </m:rad>
          <m:r>
            <m:rPr>
              <m:nor/>
              <m:sty m:val="p"/>
            </m:rPr>
            <w:rPr>
              <w:rFonts w:ascii="Times New Roman" w:hAnsi="Times New Roman"/>
              <w:b w:val="0"/>
              <w:i w:val="0"/>
            </w:rPr>
            <m:t>=5.704%</m:t>
          </m:r>
        </m:oMath>
      </m:oMathPara>
    </w:p>
    <w:p w14:paraId="31FD21CF">
      <w:pPr>
        <w:spacing w:line="360" w:lineRule="auto"/>
        <w:ind w:firstLine="420"/>
        <w:rPr>
          <w:rFonts w:ascii="Times New Roman" w:hAnsi="Times New Roman"/>
        </w:rPr>
      </w:pPr>
      <w:r>
        <w:rPr>
          <w:rFonts w:ascii="Times New Roman" w:hAnsi="Times New Roman"/>
          <w:position w:val="-8"/>
        </w:rPr>
        <w:object>
          <v:shape id="_x0000_i1073" o:spt="75" type="#_x0000_t75" style="height:14.2pt;width:7.1pt;" o:ole="t" filled="f" o:preferrelative="t" stroked="f" coordsize="21600,21600">
            <v:path/>
            <v:fill on="f" focussize="0,0"/>
            <v:stroke on="f" joinstyle="miter"/>
            <v:imagedata r:id="rId111" o:title=""/>
            <o:lock v:ext="edit" aspectratio="t"/>
            <w10:wrap type="none"/>
            <w10:anchorlock/>
          </v:shape>
          <o:OLEObject Type="Embed" ProgID="Equations" ShapeID="_x0000_i1073" DrawAspect="Content" ObjectID="_1468075773" r:id="rId110">
            <o:LockedField>false</o:LockedField>
          </o:OLEObject>
        </w:object>
      </w:r>
      <m:oMath>
        <m:r>
          <m:rPr>
            <m:nor/>
          </m:rPr>
          <w:rPr>
            <w:rFonts w:ascii="Times New Roman" w:hAnsi="Times New Roman"/>
            <w:i/>
          </w:rPr>
          <m:t>k</m:t>
        </m:r>
        <m:r>
          <m:rPr>
            <m:nor/>
            <m:sty m:val="p"/>
          </m:rPr>
          <w:rPr>
            <w:rFonts w:ascii="Times New Roman" w:hAnsi="Times New Roman"/>
            <w:b w:val="0"/>
            <w:i w:val="0"/>
          </w:rPr>
          <m:t>=2</m:t>
        </m:r>
      </m:oMath>
      <w:r>
        <w:rPr>
          <w:rFonts w:ascii="Times New Roman" w:hAnsi="Times New Roman"/>
        </w:rPr>
        <w:t>时的相对扩展不确定度为：</w:t>
      </w:r>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CRM,rel</m:t>
            </m:r>
            <m:ctrlPr>
              <w:rPr>
                <w:rFonts w:ascii="Cambria Math" w:hAnsi="Cambria Math"/>
              </w:rPr>
            </m:ctrlPr>
          </m:sub>
        </m:sSub>
        <m:r>
          <m:rPr>
            <m:nor/>
            <m:sty m:val="p"/>
          </m:rPr>
          <w:rPr>
            <w:rFonts w:ascii="Times New Roman" w:hAnsi="Times New Roman"/>
            <w:b w:val="0"/>
            <w:i w:val="0"/>
          </w:rPr>
          <m:t>=</m:t>
        </m:r>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CRM,rel</m:t>
            </m:r>
            <m:ctrlPr>
              <w:rPr>
                <w:rFonts w:ascii="Cambria Math" w:hAnsi="Cambria Math"/>
              </w:rPr>
            </m:ctrlPr>
          </m:sub>
        </m:sSub>
        <m:r>
          <m:rPr>
            <m:nor/>
            <m:sty m:val="p"/>
          </m:rPr>
          <w:rPr>
            <w:rFonts w:ascii="Times New Roman" w:hAnsi="Times New Roman"/>
            <w:b w:val="0"/>
            <w:i w:val="0"/>
          </w:rPr>
          <m:t>×</m:t>
        </m:r>
        <m:r>
          <m:rPr>
            <m:nor/>
          </m:rPr>
          <w:rPr>
            <w:rFonts w:ascii="Times New Roman" w:hAnsi="Times New Roman"/>
            <w:i/>
          </w:rPr>
          <m:t>k</m:t>
        </m:r>
        <m:r>
          <m:rPr>
            <m:nor/>
            <m:sty m:val="p"/>
          </m:rPr>
          <w:rPr>
            <w:rFonts w:ascii="Times New Roman" w:hAnsi="Times New Roman"/>
            <w:b w:val="0"/>
            <w:i w:val="0"/>
          </w:rPr>
          <m:t>=11.41%</m:t>
        </m:r>
      </m:oMath>
    </w:p>
    <w:p w14:paraId="54BE124C">
      <w:pPr>
        <w:spacing w:line="360" w:lineRule="auto"/>
        <w:ind w:firstLine="420"/>
        <w:rPr>
          <w:rFonts w:ascii="Times New Roman" w:hAnsi="Times New Roman"/>
        </w:rPr>
      </w:pPr>
      <w:r>
        <w:rPr>
          <w:rFonts w:ascii="Times New Roman" w:hAnsi="Times New Roman"/>
        </w:rPr>
        <w:t>绝对不确定度为：</w:t>
      </w:r>
    </w:p>
    <w:p w14:paraId="06772EA4">
      <w:pPr>
        <w:spacing w:line="360" w:lineRule="auto"/>
        <w:ind w:firstLine="420"/>
        <w:rPr>
          <w:rFonts w:ascii="Times New Roman" w:hAnsi="Times New Roman"/>
          <w:position w:val="-14"/>
        </w:rPr>
      </w:pPr>
      <m:oMathPara>
        <m:oMath>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CRM</m:t>
              </m:r>
              <m:ctrlPr>
                <w:rPr>
                  <w:rFonts w:ascii="Cambria Math" w:hAnsi="Cambria Math"/>
                </w:rPr>
              </m:ctrlPr>
            </m:sub>
          </m:sSub>
          <m:r>
            <m:rPr>
              <m:nor/>
              <m:sty m:val="p"/>
            </m:rPr>
            <w:rPr>
              <w:rFonts w:ascii="Times New Roman" w:hAnsi="Times New Roman"/>
              <w:b w:val="0"/>
              <w:i w:val="0"/>
            </w:rPr>
            <m:t>=</m:t>
          </m:r>
          <m:sSub>
            <m:sSubPr>
              <m:ctrlPr>
                <w:rPr>
                  <w:rFonts w:ascii="Cambria Math" w:hAnsi="Cambria Math"/>
                </w:rPr>
              </m:ctrlPr>
            </m:sSubPr>
            <m:e>
              <m:r>
                <m:rPr>
                  <m:nor/>
                </m:rPr>
                <w:rPr>
                  <w:rFonts w:ascii="Times New Roman" w:hAnsi="Times New Roman"/>
                  <w:i/>
                </w:rPr>
                <m:t>U</m:t>
              </m:r>
              <m:ctrlPr>
                <w:rPr>
                  <w:rFonts w:ascii="Cambria Math" w:hAnsi="Cambria Math"/>
                </w:rPr>
              </m:ctrlPr>
            </m:e>
            <m:sub>
              <m:r>
                <m:rPr>
                  <m:nor/>
                  <m:sty m:val="p"/>
                </m:rPr>
                <w:rPr>
                  <w:rFonts w:ascii="Times New Roman" w:hAnsi="Times New Roman"/>
                  <w:b w:val="0"/>
                  <w:i w:val="0"/>
                </w:rPr>
                <m:t>CRM,rel</m:t>
              </m:r>
              <m:ctrlPr>
                <w:rPr>
                  <w:rFonts w:ascii="Cambria Math" w:hAnsi="Cambria Math"/>
                </w:rPr>
              </m:ctrlPr>
            </m:sub>
          </m:sSub>
          <m:r>
            <m:rPr>
              <m:nor/>
              <m:sty m:val="p"/>
            </m:rPr>
            <w:rPr>
              <w:rFonts w:ascii="Times New Roman" w:hAnsi="Times New Roman"/>
              <w:b w:val="0"/>
              <w:i w:val="0"/>
            </w:rPr>
            <m:t>×</m:t>
          </m:r>
          <m:acc>
            <m:accPr>
              <m:chr m:val="̅"/>
              <m:ctrlPr>
                <w:rPr>
                  <w:rFonts w:ascii="Cambria Math" w:hAnsi="Cambria Math"/>
                </w:rPr>
              </m:ctrlPr>
            </m:accPr>
            <m:e>
              <m:r>
                <m:rPr>
                  <m:nor/>
                  <m:sty m:val="p"/>
                </m:rPr>
                <w:rPr>
                  <w:rFonts w:ascii="Times New Roman" w:hAnsi="Times New Roman"/>
                  <w:b w:val="0"/>
                  <w:i w:val="0"/>
                </w:rPr>
                <m:t>x</m:t>
              </m:r>
              <m:ctrlPr>
                <w:rPr>
                  <w:rFonts w:ascii="Cambria Math" w:hAnsi="Cambria Math"/>
                </w:rPr>
              </m:ctrlPr>
            </m:e>
          </m:acc>
          <m:r>
            <m:rPr>
              <m:nor/>
              <m:sty m:val="p"/>
            </m:rPr>
            <w:rPr>
              <w:rFonts w:ascii="Times New Roman" w:hAnsi="Times New Roman"/>
              <w:b w:val="0"/>
              <w:i w:val="0"/>
            </w:rPr>
            <m:t>=11.41%×</m:t>
          </m:r>
          <m:f>
            <m:fPr>
              <m:ctrlPr>
                <w:rPr>
                  <w:rFonts w:ascii="Cambria Math" w:hAnsi="Cambria Math"/>
                </w:rPr>
              </m:ctrlPr>
            </m:fPr>
            <m:num>
              <m:r>
                <m:rPr>
                  <m:nor/>
                  <m:sty m:val="p"/>
                </m:rPr>
                <w:rPr>
                  <w:rFonts w:ascii="Times New Roman" w:hAnsi="Times New Roman"/>
                  <w:b w:val="0"/>
                  <w:i w:val="0"/>
                </w:rPr>
                <m:t>0.0692g</m:t>
              </m:r>
              <m:ctrlPr>
                <w:rPr>
                  <w:rFonts w:ascii="Cambria Math" w:hAnsi="Cambria Math"/>
                </w:rPr>
              </m:ctrlPr>
            </m:num>
            <m:den>
              <m:r>
                <m:rPr>
                  <m:nor/>
                  <m:sty m:val="p"/>
                </m:rPr>
                <w:rPr>
                  <w:rFonts w:ascii="Times New Roman" w:hAnsi="Times New Roman"/>
                  <w:b w:val="0"/>
                  <w:i w:val="0"/>
                </w:rPr>
                <m:t>100g</m:t>
              </m:r>
              <m:ctrlPr>
                <w:rPr>
                  <w:rFonts w:ascii="Cambria Math" w:hAnsi="Cambria Math"/>
                </w:rPr>
              </m:ctrlPr>
            </m:den>
          </m:f>
          <m:r>
            <m:rPr>
              <m:nor/>
              <m:sty m:val="p"/>
            </m:rPr>
            <w:rPr>
              <w:rFonts w:ascii="Times New Roman" w:hAnsi="Times New Roman"/>
              <w:b w:val="0"/>
              <w:i w:val="0"/>
            </w:rPr>
            <m:t>=0.0079</m:t>
          </m:r>
        </m:oMath>
      </m:oMathPara>
    </w:p>
    <w:p w14:paraId="1A71F411">
      <w:pPr>
        <w:spacing w:line="360" w:lineRule="auto"/>
        <w:ind w:firstLine="420"/>
        <w:rPr>
          <w:rFonts w:ascii="Times New Roman" w:hAnsi="Times New Roman"/>
        </w:rPr>
      </w:pPr>
      <w:r>
        <w:rPr>
          <w:rFonts w:ascii="Times New Roman" w:hAnsi="Times New Roman"/>
        </w:rPr>
        <w:t>综上所示，本研究标准物质量值及其不确定度如表7所示。目前已开展了6个月的稳定性监测，结果显示量值稳定，将继续监测稳定性以延长有效期。</w:t>
      </w:r>
    </w:p>
    <w:p w14:paraId="7B2DCD6D">
      <w:pPr>
        <w:wordWrap w:val="0"/>
        <w:spacing w:line="360" w:lineRule="auto"/>
        <w:ind w:firstLine="422"/>
        <w:jc w:val="center"/>
        <w:rPr>
          <w:rFonts w:ascii="Times New Roman" w:hAnsi="Times New Roman" w:eastAsia="黑体"/>
          <w:bCs/>
        </w:rPr>
      </w:pPr>
      <w:r>
        <w:rPr>
          <w:rFonts w:ascii="Times New Roman" w:hAnsi="Times New Roman" w:eastAsia="黑体"/>
          <w:bCs/>
        </w:rPr>
        <w:t>表</w:t>
      </w:r>
      <w:r>
        <w:rPr>
          <w:rFonts w:hint="eastAsia" w:ascii="Times New Roman" w:hAnsi="Times New Roman" w:eastAsia="黑体"/>
          <w:bCs/>
        </w:rPr>
        <w:t>D.</w:t>
      </w:r>
      <w:r>
        <w:rPr>
          <w:rFonts w:ascii="Times New Roman" w:hAnsi="Times New Roman" w:eastAsia="黑体"/>
          <w:bCs/>
        </w:rPr>
        <w:t>7 标准物质特性量值及其不确定度</w:t>
      </w:r>
    </w:p>
    <w:tbl>
      <w:tblPr>
        <w:tblStyle w:val="28"/>
        <w:tblW w:w="49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3"/>
        <w:gridCol w:w="2502"/>
        <w:gridCol w:w="3355"/>
      </w:tblGrid>
      <w:tr w14:paraId="264E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881" w:type="pct"/>
            <w:vAlign w:val="center"/>
          </w:tcPr>
          <w:p w14:paraId="3C089F0F">
            <w:pPr>
              <w:wordWrap w:val="0"/>
              <w:spacing w:line="360" w:lineRule="auto"/>
              <w:ind w:firstLine="197" w:firstLineChars="94"/>
              <w:jc w:val="center"/>
              <w:rPr>
                <w:rFonts w:ascii="Times New Roman" w:hAnsi="Times New Roman"/>
                <w:bCs/>
              </w:rPr>
            </w:pPr>
            <w:r>
              <w:rPr>
                <w:rFonts w:ascii="Times New Roman" w:hAnsi="Times New Roman"/>
                <w:bCs/>
              </w:rPr>
              <w:t>名称</w:t>
            </w:r>
          </w:p>
        </w:tc>
        <w:tc>
          <w:tcPr>
            <w:tcW w:w="1332" w:type="pct"/>
            <w:vAlign w:val="center"/>
          </w:tcPr>
          <w:p w14:paraId="53EBB1AA">
            <w:pPr>
              <w:wordWrap w:val="0"/>
              <w:spacing w:line="360" w:lineRule="auto"/>
              <w:jc w:val="center"/>
              <w:rPr>
                <w:rFonts w:ascii="Times New Roman" w:hAnsi="Times New Roman"/>
                <w:bCs/>
              </w:rPr>
            </w:pPr>
            <w:r>
              <w:rPr>
                <w:rFonts w:ascii="Times New Roman" w:hAnsi="Times New Roman"/>
                <w:bCs/>
              </w:rPr>
              <w:t>质量浓度/</w:t>
            </w:r>
            <w:r>
              <w:rPr>
                <w:rFonts w:ascii="Times New Roman" w:hAnsi="Times New Roman"/>
                <w:bCs/>
                <w:color w:val="231F20"/>
              </w:rPr>
              <w:t>g/100g</w:t>
            </w:r>
          </w:p>
        </w:tc>
        <w:tc>
          <w:tcPr>
            <w:tcW w:w="1786" w:type="pct"/>
            <w:vAlign w:val="center"/>
          </w:tcPr>
          <w:p w14:paraId="6D3941C8">
            <w:pPr>
              <w:wordWrap w:val="0"/>
              <w:spacing w:line="360" w:lineRule="auto"/>
              <w:jc w:val="center"/>
              <w:rPr>
                <w:rFonts w:ascii="Times New Roman" w:hAnsi="Times New Roman"/>
                <w:bCs/>
              </w:rPr>
            </w:pPr>
            <w:r>
              <w:rPr>
                <w:rFonts w:ascii="Times New Roman" w:hAnsi="Times New Roman"/>
                <w:bCs/>
              </w:rPr>
              <w:t>扩展不确定度/</w:t>
            </w:r>
            <w:r>
              <w:rPr>
                <w:rFonts w:ascii="Times New Roman" w:hAnsi="Times New Roman"/>
                <w:bCs/>
                <w:color w:val="231F20"/>
              </w:rPr>
              <w:t xml:space="preserve"> g/100g</w:t>
            </w:r>
            <w:r>
              <w:rPr>
                <w:rFonts w:ascii="Times New Roman" w:hAnsi="Times New Roman"/>
                <w:bCs/>
              </w:rPr>
              <w:t xml:space="preserve"> (</w:t>
            </w:r>
            <w:r>
              <w:rPr>
                <w:rFonts w:ascii="Times New Roman" w:hAnsi="Times New Roman"/>
                <w:bCs/>
                <w:i/>
              </w:rPr>
              <w:t>k</w:t>
            </w:r>
            <w:r>
              <w:rPr>
                <w:rFonts w:ascii="Times New Roman" w:hAnsi="Times New Roman"/>
                <w:bCs/>
              </w:rPr>
              <w:t>=2)</w:t>
            </w:r>
          </w:p>
        </w:tc>
      </w:tr>
      <w:tr w14:paraId="2556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881" w:type="pct"/>
            <w:vAlign w:val="center"/>
          </w:tcPr>
          <w:p w14:paraId="2F279007">
            <w:pPr>
              <w:wordWrap w:val="0"/>
              <w:spacing w:line="360" w:lineRule="auto"/>
              <w:jc w:val="center"/>
              <w:rPr>
                <w:rFonts w:ascii="Times New Roman" w:hAnsi="Times New Roman"/>
                <w:bCs/>
              </w:rPr>
            </w:pPr>
            <w:r>
              <w:rPr>
                <w:rFonts w:ascii="Times New Roman" w:hAnsi="Times New Roman"/>
                <w:bCs/>
              </w:rPr>
              <w:t>乳粉中DHA成分分析标准物质</w:t>
            </w:r>
          </w:p>
        </w:tc>
        <w:tc>
          <w:tcPr>
            <w:tcW w:w="1332" w:type="pct"/>
            <w:vAlign w:val="center"/>
          </w:tcPr>
          <w:p w14:paraId="1CC7228A">
            <w:pPr>
              <w:wordWrap w:val="0"/>
              <w:spacing w:line="360" w:lineRule="auto"/>
              <w:jc w:val="center"/>
              <w:rPr>
                <w:rFonts w:ascii="Times New Roman" w:hAnsi="Times New Roman"/>
                <w:bCs/>
              </w:rPr>
            </w:pPr>
            <w:r>
              <w:rPr>
                <w:rFonts w:ascii="Times New Roman" w:hAnsi="Times New Roman"/>
                <w:bCs/>
              </w:rPr>
              <w:t>0.0692</w:t>
            </w:r>
          </w:p>
        </w:tc>
        <w:tc>
          <w:tcPr>
            <w:tcW w:w="1786" w:type="pct"/>
            <w:vAlign w:val="center"/>
          </w:tcPr>
          <w:p w14:paraId="73255CD1">
            <w:pPr>
              <w:wordWrap w:val="0"/>
              <w:spacing w:line="360" w:lineRule="auto"/>
              <w:jc w:val="center"/>
              <w:rPr>
                <w:rFonts w:ascii="Times New Roman" w:hAnsi="Times New Roman"/>
                <w:bCs/>
              </w:rPr>
            </w:pPr>
            <w:r>
              <w:rPr>
                <w:rFonts w:ascii="Times New Roman" w:hAnsi="Times New Roman"/>
                <w:bCs/>
              </w:rPr>
              <w:t>0.0091</w:t>
            </w:r>
          </w:p>
        </w:tc>
      </w:tr>
    </w:tbl>
    <w:p w14:paraId="561D794E">
      <w:pPr>
        <w:pStyle w:val="14"/>
        <w:widowControl/>
        <w:wordWrap w:val="0"/>
        <w:autoSpaceDE w:val="0"/>
        <w:autoSpaceDN w:val="0"/>
        <w:snapToGrid w:val="0"/>
        <w:spacing w:before="156" w:beforeLines="50" w:after="0" w:line="360" w:lineRule="auto"/>
        <w:textAlignment w:val="baseline"/>
        <w:outlineLvl w:val="1"/>
        <w:rPr>
          <w:rFonts w:ascii="Times New Roman" w:hAnsi="Times New Roman" w:eastAsia="黑体"/>
          <w:spacing w:val="-6"/>
        </w:rPr>
      </w:pPr>
      <w:r>
        <w:rPr>
          <w:rFonts w:hint="eastAsia" w:ascii="Times New Roman" w:hAnsi="Times New Roman" w:eastAsia="黑体"/>
          <w:spacing w:val="-6"/>
        </w:rPr>
        <w:t>D</w:t>
      </w:r>
      <w:r>
        <w:rPr>
          <w:rFonts w:ascii="Times New Roman" w:hAnsi="Times New Roman" w:eastAsia="黑体"/>
          <w:spacing w:val="-6"/>
        </w:rPr>
        <w:t>.9  文件要求</w:t>
      </w:r>
    </w:p>
    <w:p w14:paraId="02F108D1">
      <w:pPr>
        <w:wordWrap w:val="0"/>
        <w:spacing w:line="360" w:lineRule="auto"/>
        <w:ind w:firstLine="420"/>
        <w:rPr>
          <w:rFonts w:ascii="Times New Roman" w:hAnsi="Times New Roman"/>
        </w:rPr>
      </w:pPr>
      <w:r>
        <w:rPr>
          <w:rFonts w:ascii="Times New Roman" w:hAnsi="Times New Roman"/>
        </w:rPr>
        <w:t>本标准物质主要用于乳粉中DHA成分的检测，包括食品领域相关成分分析检测，乳制品生产部门和检测实验室质量控制、分析方法验证/确认评价等。</w:t>
      </w:r>
    </w:p>
    <w:p w14:paraId="79950F6A">
      <w:r>
        <w:rPr>
          <w:rFonts w:hint="eastAsia"/>
        </w:rPr>
        <w:br w:type="page"/>
      </w:r>
    </w:p>
    <w:p w14:paraId="667D5961">
      <w:pPr>
        <w:pStyle w:val="61"/>
        <w:ind w:firstLine="0" w:firstLineChars="0"/>
        <w:jc w:val="center"/>
        <w:rPr>
          <w:rFonts w:ascii="黑体" w:hAnsi="黑体" w:eastAsia="黑体" w:cs="黑体"/>
        </w:rPr>
      </w:pPr>
      <w:r>
        <w:rPr>
          <w:rFonts w:hint="eastAsia" w:ascii="黑体" w:hAnsi="黑体" w:eastAsia="黑体" w:cs="黑体"/>
        </w:rPr>
        <w:t>参考文献</w:t>
      </w:r>
    </w:p>
    <w:p w14:paraId="7A6BF691">
      <w:pPr>
        <w:pStyle w:val="61"/>
        <w:ind w:firstLine="0" w:firstLineChars="0"/>
        <w:jc w:val="left"/>
        <w:rPr>
          <w:rFonts w:ascii="Times New Roman"/>
          <w:sz w:val="18"/>
          <w:szCs w:val="18"/>
        </w:rPr>
      </w:pPr>
      <w:r>
        <w:rPr>
          <w:rFonts w:ascii="Times New Roman"/>
          <w:sz w:val="18"/>
          <w:szCs w:val="18"/>
        </w:rPr>
        <w:t>[1]标准物质/标准样品生产者认可中对原材料为纯度物质的特定要求:CNAS EL19-2021[S]. 2021.</w:t>
      </w:r>
    </w:p>
    <w:p w14:paraId="0DDB5346">
      <w:pPr>
        <w:pStyle w:val="61"/>
        <w:ind w:firstLine="0" w:firstLineChars="0"/>
        <w:jc w:val="left"/>
        <w:rPr>
          <w:rFonts w:ascii="Times New Roman"/>
          <w:sz w:val="18"/>
          <w:szCs w:val="18"/>
        </w:rPr>
      </w:pPr>
      <w:r>
        <w:rPr>
          <w:rFonts w:ascii="Times New Roman"/>
          <w:sz w:val="18"/>
          <w:szCs w:val="18"/>
        </w:rPr>
        <w:t>[2]标准物质/标准样品证书和标签的内容:CNAS GL010-2018[S]. 2018.</w:t>
      </w:r>
    </w:p>
    <w:p w14:paraId="38E992AA">
      <w:pPr>
        <w:pStyle w:val="61"/>
        <w:ind w:firstLine="0" w:firstLineChars="0"/>
        <w:jc w:val="left"/>
        <w:rPr>
          <w:rFonts w:ascii="Times New Roman"/>
          <w:sz w:val="18"/>
          <w:szCs w:val="18"/>
        </w:rPr>
      </w:pPr>
      <w:r>
        <w:rPr>
          <w:rFonts w:ascii="Times New Roman"/>
          <w:sz w:val="18"/>
          <w:szCs w:val="18"/>
        </w:rPr>
        <w:t>[3]标准物质/标准样品定值的一般原则和统计方法:CNAS GL017-2018[S]. 2018.</w:t>
      </w:r>
    </w:p>
    <w:p w14:paraId="0B6BCE9B">
      <w:pPr>
        <w:pStyle w:val="61"/>
        <w:ind w:firstLine="0" w:firstLineChars="0"/>
        <w:jc w:val="left"/>
        <w:rPr>
          <w:rFonts w:ascii="Times New Roman"/>
          <w:sz w:val="18"/>
          <w:szCs w:val="18"/>
        </w:rPr>
      </w:pPr>
      <w:r>
        <w:rPr>
          <w:rFonts w:ascii="Times New Roman"/>
          <w:sz w:val="18"/>
          <w:szCs w:val="18"/>
        </w:rPr>
        <w:t>[4]标准物质/标准样品生产者认可指南:CNAS GL018-2018[S]. 2018.</w:t>
      </w:r>
    </w:p>
    <w:p w14:paraId="6C31B02B">
      <w:pPr>
        <w:pStyle w:val="61"/>
        <w:ind w:firstLine="0" w:firstLineChars="0"/>
        <w:jc w:val="left"/>
        <w:rPr>
          <w:rFonts w:ascii="Times New Roman"/>
          <w:sz w:val="18"/>
          <w:szCs w:val="18"/>
        </w:rPr>
      </w:pPr>
      <w:r>
        <w:rPr>
          <w:rFonts w:ascii="Times New Roman"/>
          <w:sz w:val="18"/>
          <w:szCs w:val="18"/>
        </w:rPr>
        <w:t>[5]国家技术监督局. 标准样品工作导则(1) 在技术标准中陈述标准样品的一般规定:GB/T 15000.1-1994[S]. 1994.</w:t>
      </w:r>
    </w:p>
    <w:p w14:paraId="5391D2EB">
      <w:pPr>
        <w:pStyle w:val="61"/>
        <w:ind w:firstLine="0" w:firstLineChars="0"/>
        <w:jc w:val="left"/>
        <w:rPr>
          <w:rFonts w:ascii="Times New Roman"/>
          <w:sz w:val="18"/>
          <w:szCs w:val="18"/>
        </w:rPr>
      </w:pPr>
      <w:r>
        <w:rPr>
          <w:rFonts w:ascii="Times New Roman"/>
          <w:sz w:val="18"/>
          <w:szCs w:val="18"/>
        </w:rPr>
        <w:t>[6]国家市场监督管理总局. 标准样品工作导则 第2部分:常用术语及定义:GB/T 15000.2-2019[S]. 2019.</w:t>
      </w:r>
    </w:p>
    <w:p w14:paraId="6DA7B7F6">
      <w:pPr>
        <w:pStyle w:val="61"/>
        <w:ind w:firstLine="0" w:firstLineChars="0"/>
        <w:jc w:val="left"/>
        <w:rPr>
          <w:rFonts w:ascii="Times New Roman"/>
          <w:sz w:val="18"/>
          <w:szCs w:val="18"/>
        </w:rPr>
      </w:pPr>
      <w:r>
        <w:rPr>
          <w:rFonts w:ascii="Times New Roman"/>
          <w:sz w:val="18"/>
          <w:szCs w:val="18"/>
        </w:rPr>
        <w:t>[7]国家市场监督管理总局. 标准样品工作导则 第3部分：标准样品 定值和均匀性与稳定性评估:GB/T 15000.3-2023[S]. 2023.</w:t>
      </w:r>
    </w:p>
    <w:p w14:paraId="0F8E8FF5">
      <w:pPr>
        <w:pStyle w:val="61"/>
        <w:ind w:firstLine="0" w:firstLineChars="0"/>
        <w:jc w:val="left"/>
        <w:rPr>
          <w:rFonts w:ascii="Times New Roman"/>
          <w:sz w:val="18"/>
          <w:szCs w:val="18"/>
        </w:rPr>
      </w:pPr>
      <w:r>
        <w:rPr>
          <w:rFonts w:ascii="Times New Roman"/>
          <w:sz w:val="18"/>
          <w:szCs w:val="18"/>
        </w:rPr>
        <w:t>[8]国家市场监督管理总局. 标准样品工作导则 第5部分：质量控制样品的内部研制:GB/T 15000.5-2023[S]. 2023.</w:t>
      </w:r>
    </w:p>
    <w:p w14:paraId="51BDC092">
      <w:pPr>
        <w:pStyle w:val="61"/>
        <w:ind w:firstLine="0" w:firstLineChars="0"/>
        <w:jc w:val="left"/>
        <w:rPr>
          <w:rFonts w:ascii="Times New Roman"/>
          <w:sz w:val="18"/>
          <w:szCs w:val="18"/>
        </w:rPr>
      </w:pPr>
      <w:r>
        <w:rPr>
          <w:rFonts w:ascii="Times New Roman"/>
          <w:sz w:val="18"/>
          <w:szCs w:val="18"/>
        </w:rPr>
        <w:t>[9]国家技术监督局. 标准样品工作导则(6) 标准样品包装通则:GB/T 15000.6-1996[S]. 1996.</w:t>
      </w:r>
    </w:p>
    <w:p w14:paraId="16FAEC17">
      <w:pPr>
        <w:pStyle w:val="61"/>
        <w:ind w:firstLine="0" w:firstLineChars="0"/>
        <w:jc w:val="left"/>
        <w:rPr>
          <w:rFonts w:ascii="Times New Roman"/>
          <w:sz w:val="18"/>
          <w:szCs w:val="18"/>
        </w:rPr>
      </w:pPr>
      <w:r>
        <w:rPr>
          <w:rFonts w:ascii="Times New Roman"/>
          <w:sz w:val="18"/>
          <w:szCs w:val="18"/>
        </w:rPr>
        <w:t>[10]国家市场监督管理总局. 标准样品工作导则 第7部分:标准样品生产者能力的通用要求:GB/T 15000.7-2021[S]. 2021.</w:t>
      </w:r>
    </w:p>
    <w:p w14:paraId="2F640D35">
      <w:pPr>
        <w:pStyle w:val="61"/>
        <w:ind w:firstLine="0" w:firstLineChars="0"/>
        <w:jc w:val="left"/>
        <w:rPr>
          <w:rFonts w:ascii="Times New Roman"/>
          <w:sz w:val="18"/>
          <w:szCs w:val="18"/>
        </w:rPr>
      </w:pPr>
      <w:r>
        <w:rPr>
          <w:rFonts w:ascii="Times New Roman"/>
          <w:sz w:val="18"/>
          <w:szCs w:val="18"/>
        </w:rPr>
        <w:t>[11]国家市场监督管理总局. 标准样品工作导则 第8部分：标准样品的使用:GB/T 15000.8-2023[S]. 2023.</w:t>
      </w:r>
    </w:p>
    <w:p w14:paraId="035E17CF">
      <w:pPr>
        <w:pStyle w:val="61"/>
        <w:ind w:firstLine="0" w:firstLineChars="0"/>
        <w:jc w:val="left"/>
        <w:rPr>
          <w:rFonts w:ascii="Times New Roman"/>
          <w:sz w:val="18"/>
          <w:szCs w:val="18"/>
        </w:rPr>
      </w:pPr>
      <w:r>
        <w:rPr>
          <w:rFonts w:ascii="Times New Roman"/>
          <w:sz w:val="18"/>
          <w:szCs w:val="18"/>
        </w:rPr>
        <w:t>[12]中华人民共和国国家质量监督检验检疫总局. 国旗颜色标准样品:GB 12983-2004[S]. 2004.</w:t>
      </w:r>
    </w:p>
    <w:p w14:paraId="555AC5F3">
      <w:pPr>
        <w:pStyle w:val="61"/>
        <w:ind w:firstLine="0" w:firstLineChars="0"/>
        <w:jc w:val="left"/>
        <w:rPr>
          <w:rFonts w:ascii="Times New Roman"/>
          <w:sz w:val="18"/>
          <w:szCs w:val="18"/>
        </w:rPr>
      </w:pPr>
      <w:r>
        <w:rPr>
          <w:rFonts w:ascii="Times New Roman"/>
          <w:sz w:val="18"/>
          <w:szCs w:val="18"/>
        </w:rPr>
        <w:t>[13]中华人民共和国国家质量监督检验检疫总局. 基于标准样品的线性校准:GB/T 22554-2010[S]. 2010.</w:t>
      </w:r>
    </w:p>
    <w:p w14:paraId="3B3E75C0">
      <w:pPr>
        <w:pStyle w:val="61"/>
        <w:ind w:firstLine="0" w:firstLineChars="0"/>
        <w:jc w:val="left"/>
        <w:rPr>
          <w:rFonts w:ascii="Times New Roman"/>
          <w:sz w:val="18"/>
          <w:szCs w:val="18"/>
        </w:rPr>
      </w:pPr>
      <w:r>
        <w:rPr>
          <w:rFonts w:ascii="Times New Roman"/>
          <w:sz w:val="18"/>
          <w:szCs w:val="18"/>
        </w:rPr>
        <w:t>[14]中华人民共和国国家标准 茶叶标准样品制备技术条件[J]. 茶世界,2004(8):36-37.</w:t>
      </w:r>
    </w:p>
    <w:p w14:paraId="6B738376">
      <w:pPr>
        <w:pStyle w:val="61"/>
        <w:ind w:firstLine="0" w:firstLineChars="0"/>
        <w:jc w:val="left"/>
        <w:rPr>
          <w:rFonts w:ascii="Times New Roman"/>
          <w:sz w:val="18"/>
          <w:szCs w:val="18"/>
        </w:rPr>
      </w:pPr>
      <w:r>
        <w:rPr>
          <w:rFonts w:ascii="Times New Roman"/>
          <w:sz w:val="18"/>
          <w:szCs w:val="18"/>
        </w:rPr>
        <w:t>[15]农产品分类与代码:NY/T 3177-2018[S]. 2018.</w:t>
      </w:r>
    </w:p>
    <w:p w14:paraId="54DEF36C">
      <w:pPr>
        <w:pStyle w:val="61"/>
        <w:ind w:firstLine="0" w:firstLineChars="0"/>
        <w:jc w:val="left"/>
        <w:rPr>
          <w:rFonts w:ascii="Times New Roman"/>
          <w:sz w:val="18"/>
          <w:szCs w:val="18"/>
        </w:rPr>
      </w:pPr>
      <w:r>
        <w:rPr>
          <w:rFonts w:ascii="Times New Roman"/>
          <w:sz w:val="18"/>
          <w:szCs w:val="18"/>
        </w:rPr>
        <w:t>[16]石化行业标准样品技术规范:HG/T 3580-2018[S]. 2018.</w:t>
      </w:r>
    </w:p>
    <w:p w14:paraId="77E2E9A8">
      <w:pPr>
        <w:pStyle w:val="61"/>
        <w:ind w:firstLine="0" w:firstLineChars="0"/>
        <w:jc w:val="left"/>
        <w:rPr>
          <w:rFonts w:ascii="Times New Roman"/>
          <w:sz w:val="18"/>
          <w:szCs w:val="18"/>
        </w:rPr>
      </w:pPr>
      <w:r>
        <w:rPr>
          <w:rFonts w:ascii="Times New Roman"/>
          <w:sz w:val="18"/>
          <w:szCs w:val="18"/>
        </w:rPr>
        <w:t>[17]国家粮食局. 小麦硬度指数标准样品制备技术规范:LS/T 1214-2008[S]. 2008.</w:t>
      </w:r>
    </w:p>
    <w:p w14:paraId="465700DA">
      <w:pPr>
        <w:pStyle w:val="61"/>
        <w:ind w:firstLine="0" w:firstLineChars="0"/>
        <w:jc w:val="left"/>
        <w:rPr>
          <w:rFonts w:ascii="Times New Roman"/>
          <w:sz w:val="18"/>
          <w:szCs w:val="18"/>
        </w:rPr>
      </w:pPr>
      <w:r>
        <w:rPr>
          <w:rFonts w:ascii="Times New Roman"/>
          <w:sz w:val="18"/>
          <w:szCs w:val="18"/>
        </w:rPr>
        <w:t>[18]国家粮食局. 稻谷整精米率标准样品制备技术规范:LS/T 1216-2010[S]. 2010.</w:t>
      </w:r>
    </w:p>
    <w:p w14:paraId="68CBA3D6">
      <w:pPr>
        <w:pStyle w:val="61"/>
        <w:ind w:firstLine="0" w:firstLineChars="0"/>
        <w:jc w:val="left"/>
        <w:rPr>
          <w:rFonts w:ascii="Times New Roman"/>
          <w:sz w:val="18"/>
          <w:szCs w:val="18"/>
        </w:rPr>
      </w:pPr>
      <w:r>
        <w:rPr>
          <w:rFonts w:ascii="Times New Roman"/>
          <w:sz w:val="18"/>
          <w:szCs w:val="18"/>
        </w:rPr>
        <w:t>[19]中华人民共和国国家质量监督检验检疫总局. 感官分析.方法学.总论:GB/T 10220-2012[S]. 2012.</w:t>
      </w:r>
    </w:p>
    <w:p w14:paraId="76578791">
      <w:pPr>
        <w:pStyle w:val="61"/>
        <w:ind w:firstLine="0" w:firstLineChars="0"/>
        <w:jc w:val="left"/>
        <w:rPr>
          <w:rFonts w:ascii="Times New Roman"/>
          <w:sz w:val="18"/>
          <w:szCs w:val="18"/>
        </w:rPr>
      </w:pPr>
      <w:r>
        <w:rPr>
          <w:rFonts w:ascii="Times New Roman"/>
          <w:sz w:val="18"/>
          <w:szCs w:val="18"/>
        </w:rPr>
        <w:t>[20]中华人民共和国国家质量监督检验检疫总局. 感官分析.选拔、培训与管理评价员一般导则.第1部分：优选评价员:GB/T 16291.1-2012[S]. 2012.</w:t>
      </w:r>
    </w:p>
    <w:p w14:paraId="0A168B92">
      <w:pPr>
        <w:pStyle w:val="61"/>
        <w:ind w:firstLine="0" w:firstLineChars="0"/>
        <w:jc w:val="left"/>
        <w:rPr>
          <w:rFonts w:ascii="Times New Roman"/>
          <w:sz w:val="18"/>
          <w:szCs w:val="18"/>
        </w:rPr>
      </w:pPr>
      <w:r>
        <w:rPr>
          <w:rFonts w:ascii="Times New Roman"/>
          <w:sz w:val="18"/>
          <w:szCs w:val="18"/>
        </w:rPr>
        <w:t>[21] 中华人民共和国国家质量监督检验检疫总局. 感官分析.选拔、培训和管理评价员一般导则 第2部分:专家评价员:GB/T 16291.2-2010[S]. 2010.</w:t>
      </w:r>
    </w:p>
    <w:p w14:paraId="5C23DD1D">
      <w:pPr>
        <w:pStyle w:val="61"/>
        <w:ind w:firstLine="0" w:firstLineChars="0"/>
        <w:jc w:val="left"/>
        <w:rPr>
          <w:rFonts w:ascii="Times New Roman"/>
          <w:sz w:val="18"/>
          <w:szCs w:val="18"/>
        </w:rPr>
      </w:pPr>
      <w:r>
        <w:rPr>
          <w:rFonts w:ascii="Times New Roman"/>
          <w:sz w:val="18"/>
          <w:szCs w:val="18"/>
        </w:rPr>
        <w:t>[22]中华人民共和国国家质量监督检验检疫总局. 辣椒辣度的感官评价方法:GB/T 21265-2007[S]. 2007.</w:t>
      </w:r>
    </w:p>
    <w:p w14:paraId="5D30C4B4">
      <w:pPr>
        <w:pStyle w:val="61"/>
        <w:ind w:firstLine="0" w:firstLineChars="0"/>
        <w:jc w:val="left"/>
        <w:rPr>
          <w:rFonts w:ascii="Times New Roman" w:hAnsi="Times New Roman" w:eastAsia="宋体" w:cs="Times New Roman"/>
          <w:sz w:val="18"/>
          <w:szCs w:val="18"/>
        </w:rPr>
      </w:pPr>
      <w:r>
        <w:rPr>
          <w:rFonts w:ascii="Times New Roman"/>
          <w:sz w:val="18"/>
          <w:szCs w:val="18"/>
        </w:rPr>
        <w:t>[23]中华人民共和国国家质量监督检验检疫总局. 白酒感官品评导则:GB/T 33404-2016[S]. 2017.</w:t>
      </w:r>
    </w:p>
    <w:p w14:paraId="32F703DC">
      <w:pPr>
        <w:pStyle w:val="61"/>
        <w:ind w:firstLine="0" w:firstLineChars="0"/>
        <w:rPr>
          <w:rFonts w:ascii="黑体" w:hAnsi="黑体" w:eastAsia="黑体" w:cs="黑体"/>
        </w:rPr>
      </w:pPr>
    </w:p>
    <w:p w14:paraId="495BD9ED">
      <w:pPr>
        <w:pStyle w:val="61"/>
        <w:ind w:firstLine="0" w:firstLineChars="0"/>
        <w:jc w:val="center"/>
        <w:rPr>
          <w:rFonts w:ascii="黑体" w:hAnsi="黑体" w:eastAsia="黑体" w:cs="黑体"/>
        </w:rPr>
      </w:pPr>
    </w:p>
    <w:p w14:paraId="63C42C1E">
      <w:pPr>
        <w:pStyle w:val="61"/>
        <w:ind w:firstLine="0" w:firstLineChars="0"/>
        <w:jc w:val="center"/>
        <w:rPr>
          <w:rFonts w:ascii="黑体" w:hAnsi="黑体" w:eastAsia="黑体" w:cs="黑体"/>
        </w:rPr>
      </w:pPr>
    </w:p>
    <w:p w14:paraId="77DD5EA0">
      <w:pPr>
        <w:pStyle w:val="61"/>
        <w:ind w:firstLine="0" w:firstLineChars="0"/>
        <w:jc w:val="center"/>
      </w:pPr>
      <w:r>
        <mc:AlternateContent>
          <mc:Choice Requires="wps">
            <w:drawing>
              <wp:anchor distT="0" distB="0" distL="114300" distR="114300" simplePos="0" relativeHeight="251661312" behindDoc="0" locked="0" layoutInCell="1" allowOverlap="1">
                <wp:simplePos x="0" y="0"/>
                <wp:positionH relativeFrom="column">
                  <wp:posOffset>2231390</wp:posOffset>
                </wp:positionH>
                <wp:positionV relativeFrom="paragraph">
                  <wp:posOffset>133350</wp:posOffset>
                </wp:positionV>
                <wp:extent cx="1508125" cy="0"/>
                <wp:effectExtent l="0" t="4445" r="0" b="5080"/>
                <wp:wrapNone/>
                <wp:docPr id="2" name="直接连接符 2"/>
                <wp:cNvGraphicFramePr/>
                <a:graphic xmlns:a="http://schemas.openxmlformats.org/drawingml/2006/main">
                  <a:graphicData uri="http://schemas.microsoft.com/office/word/2010/wordprocessingShape">
                    <wps:wsp>
                      <wps:cNvCnPr/>
                      <wps:spPr>
                        <a:xfrm>
                          <a:off x="3131820" y="6330315"/>
                          <a:ext cx="150812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7pt;margin-top:10.5pt;height:0pt;width:118.75pt;z-index:251661312;mso-width-relative:page;mso-height-relative:page;" filled="f" stroked="t" coordsize="21600,21600" o:gfxdata="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7uoaLWAAAACQEAAA8AAAAAAAAAAQAgAAAAIgAAAGRycy9k&#10;b3ducmV2LnhtbFBLAQIUABQAAAAIAIdO4kDXPak9ywEAAHYDAAAOAAAAAAAAAAEAIAAAACUBAABk&#10;cnMvZTJvRG9jLnhtbFBLBQYAAAAABgAGAFkBAABiBQAAAAA=&#10;">
                <v:fill on="f" focussize="0,0"/>
                <v:stroke color="#000000" joinstyle="round"/>
                <v:imagedata o:title=""/>
                <o:lock v:ext="edit" aspectratio="f"/>
              </v:line>
            </w:pict>
          </mc:Fallback>
        </mc:AlternateContent>
      </w:r>
    </w:p>
    <w:bookmarkEnd w:id="46"/>
    <w:p w14:paraId="02841744">
      <w:pPr>
        <w:pStyle w:val="61"/>
        <w:ind w:firstLine="0" w:firstLineChars="0"/>
        <w:jc w:val="center"/>
      </w:pPr>
    </w:p>
    <w:sectPr>
      <w:pgSz w:w="11906" w:h="16838"/>
      <w:pgMar w:top="1871"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B749C3-90B2-4120-AA7E-BF903769B0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25642BC-BF1B-4131-AF5F-362DE2A17244}"/>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roman"/>
    <w:pitch w:val="default"/>
    <w:sig w:usb0="E00006FF" w:usb1="420024FF" w:usb2="02000000" w:usb3="00000000" w:csb0="2000019F" w:csb1="00000000"/>
    <w:embedRegular r:id="rId3" w:fontKey="{C2160129-EFD6-4A91-B800-CCA761DF89A7}"/>
  </w:font>
  <w:font w:name="微软雅黑">
    <w:panose1 w:val="020B0503020204020204"/>
    <w:charset w:val="86"/>
    <w:family w:val="swiss"/>
    <w:pitch w:val="default"/>
    <w:sig w:usb0="80000287" w:usb1="2ACF3C50" w:usb2="00000016" w:usb3="00000000" w:csb0="0004001F" w:csb1="00000000"/>
    <w:embedRegular r:id="rId4" w:fontKey="{20DD20B1-AD2F-4DA2-8C6F-DB49369BF7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3A3A7">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9293E">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8209D">
    <w:pPr>
      <w:pStyle w:val="57"/>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pPr>
      <w:r>
        <w:separator/>
      </w:r>
    </w:p>
  </w:footnote>
  <w:footnote w:type="continuationSeparator" w:id="3">
    <w:p>
      <w:pPr>
        <w:spacing w:line="240" w:lineRule="auto"/>
      </w:pPr>
      <w:r>
        <w:continuationSeparator/>
      </w:r>
    </w:p>
  </w:footnote>
  <w:footnote w:id="0">
    <w:p w14:paraId="41033C8A">
      <w:pPr>
        <w:pStyle w:val="22"/>
        <w:snapToGrid w:val="0"/>
        <w:rPr>
          <w:rFonts w:hint="eastAsia"/>
        </w:rPr>
      </w:pPr>
      <w:r>
        <w:rPr>
          <w:rStyle w:val="38"/>
        </w:rPr>
        <w:footnoteRef/>
      </w:r>
      <w:r>
        <w:t xml:space="preserve"> </w:t>
      </w:r>
      <w:r>
        <w:rPr>
          <w:rFonts w:hint="eastAsia"/>
        </w:rPr>
        <w:t>本文件在主要章节提供了研制农产品品质评价实物标样的一般信息，在附录中</w:t>
      </w:r>
      <w:r>
        <w:rPr>
          <w:rFonts w:hint="eastAsia"/>
          <w:lang w:val="en-US" w:eastAsia="zh-CN"/>
        </w:rPr>
        <w:t xml:space="preserve"> </w:t>
      </w:r>
      <w:r>
        <w:rPr>
          <w:rFonts w:hint="eastAsia"/>
        </w:rPr>
        <w:t>包含了一些特定案例研究。附录</w:t>
      </w:r>
    </w:p>
    <w:p w14:paraId="196B12D6">
      <w:pPr>
        <w:pStyle w:val="22"/>
        <w:snapToGrid w:val="0"/>
      </w:pPr>
      <w:r>
        <w:rPr>
          <w:rFonts w:hint="eastAsia"/>
        </w:rPr>
        <w:t>所列案例并非完整的“研制报告”，而是重点展示代表性农产品品质评价实物标样研制过程中需考虑的关键因素。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60AF4">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05763">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AD902">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4ED24">
    <w:pPr>
      <w:pStyle w:val="66"/>
    </w:pPr>
    <w:r>
      <w:fldChar w:fldCharType="begin"/>
    </w:r>
    <w:r>
      <w:instrText xml:space="preserve"> STYLEREF  标准文件_文件编号  \* MERGEFORMAT </w:instrText>
    </w:r>
    <w:r>
      <w:fldChar w:fldCharType="separate"/>
    </w:r>
    <w:r>
      <w:t>NY/T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949D2">
    <w:pPr>
      <w:pStyle w:val="19"/>
      <w:jc w:val="right"/>
    </w:pPr>
    <w:r>
      <w:fldChar w:fldCharType="begin"/>
    </w:r>
    <w:r>
      <w:instrText xml:space="preserve"> STYLEREF  标准文件_文件编号  \* MERGEFORMAT </w:instrText>
    </w:r>
    <w:r>
      <w:fldChar w:fldCharType="separate"/>
    </w:r>
    <w:r>
      <w:t>NY/T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2CA2B"/>
    <w:multiLevelType w:val="singleLevel"/>
    <w:tmpl w:val="9A32CA2B"/>
    <w:lvl w:ilvl="0" w:tentative="0">
      <w:start w:val="1"/>
      <w:numFmt w:val="decimal"/>
      <w:lvlText w:val="%1)"/>
      <w:lvlJc w:val="left"/>
      <w:pPr>
        <w:ind w:left="425" w:hanging="425"/>
      </w:pPr>
      <w:rPr>
        <w:rFonts w:hint="default"/>
      </w:rPr>
    </w:lvl>
  </w:abstractNum>
  <w:abstractNum w:abstractNumId="1">
    <w:nsid w:val="BE4164BB"/>
    <w:multiLevelType w:val="singleLevel"/>
    <w:tmpl w:val="BE4164BB"/>
    <w:lvl w:ilvl="0" w:tentative="0">
      <w:start w:val="1"/>
      <w:numFmt w:val="decimal"/>
      <w:lvlText w:val="%1)"/>
      <w:lvlJc w:val="left"/>
      <w:pPr>
        <w:ind w:left="425" w:hanging="425"/>
      </w:pPr>
      <w:rPr>
        <w:rFonts w:hint="default"/>
      </w:rPr>
    </w:lvl>
  </w:abstractNum>
  <w:abstractNum w:abstractNumId="2">
    <w:nsid w:val="F2426F3B"/>
    <w:multiLevelType w:val="singleLevel"/>
    <w:tmpl w:val="F2426F3B"/>
    <w:lvl w:ilvl="0" w:tentative="0">
      <w:start w:val="1"/>
      <w:numFmt w:val="decimal"/>
      <w:lvlText w:val="%1)"/>
      <w:lvlJc w:val="left"/>
      <w:pPr>
        <w:ind w:left="425" w:hanging="425"/>
      </w:pPr>
      <w:rPr>
        <w:rFonts w:hint="default"/>
      </w:rPr>
    </w:lvl>
  </w:abstractNum>
  <w:abstractNum w:abstractNumId="3">
    <w:nsid w:val="F602C33C"/>
    <w:multiLevelType w:val="singleLevel"/>
    <w:tmpl w:val="F602C33C"/>
    <w:lvl w:ilvl="0" w:tentative="0">
      <w:start w:val="1"/>
      <w:numFmt w:val="decimal"/>
      <w:lvlText w:val="%1)"/>
      <w:lvlJc w:val="left"/>
      <w:pPr>
        <w:ind w:left="425" w:hanging="425"/>
      </w:pPr>
      <w:rPr>
        <w:rFonts w:hint="default"/>
      </w:rPr>
    </w:lvl>
  </w:abstractNum>
  <w:abstractNum w:abstractNumId="4">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5">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7">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1">
    <w:nsid w:val="110C1D64"/>
    <w:multiLevelType w:val="singleLevel"/>
    <w:tmpl w:val="110C1D64"/>
    <w:lvl w:ilvl="0" w:tentative="0">
      <w:start w:val="1"/>
      <w:numFmt w:val="decimal"/>
      <w:lvlText w:val="%1)"/>
      <w:lvlJc w:val="left"/>
      <w:pPr>
        <w:ind w:left="425" w:hanging="425"/>
      </w:pPr>
      <w:rPr>
        <w:rFonts w:hint="default"/>
      </w:rPr>
    </w:lvl>
  </w:abstractNum>
  <w:abstractNum w:abstractNumId="12">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4">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5">
    <w:nsid w:val="28AA387F"/>
    <w:multiLevelType w:val="singleLevel"/>
    <w:tmpl w:val="28AA387F"/>
    <w:lvl w:ilvl="0" w:tentative="0">
      <w:start w:val="1"/>
      <w:numFmt w:val="decimal"/>
      <w:lvlText w:val="%1."/>
      <w:lvlJc w:val="left"/>
      <w:pPr>
        <w:ind w:left="425" w:hanging="425"/>
      </w:pPr>
      <w:rPr>
        <w:rFonts w:hint="default"/>
      </w:rPr>
    </w:lvl>
  </w:abstractNum>
  <w:abstractNum w:abstractNumId="16">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3D9A9A37"/>
    <w:multiLevelType w:val="singleLevel"/>
    <w:tmpl w:val="3D9A9A37"/>
    <w:lvl w:ilvl="0" w:tentative="0">
      <w:start w:val="1"/>
      <w:numFmt w:val="decimalEnclosedCircleChinese"/>
      <w:suff w:val="nothing"/>
      <w:lvlText w:val="%1　"/>
      <w:lvlJc w:val="left"/>
      <w:pPr>
        <w:ind w:left="0" w:firstLine="400"/>
      </w:pPr>
      <w:rPr>
        <w:rFonts w:hint="eastAsia"/>
      </w:rPr>
    </w:lvl>
  </w:abstractNum>
  <w:abstractNum w:abstractNumId="19">
    <w:nsid w:val="3DFBEE32"/>
    <w:multiLevelType w:val="singleLevel"/>
    <w:tmpl w:val="3DFBEE32"/>
    <w:lvl w:ilvl="0" w:tentative="0">
      <w:start w:val="1"/>
      <w:numFmt w:val="decimal"/>
      <w:lvlText w:val="%1)"/>
      <w:lvlJc w:val="left"/>
      <w:pPr>
        <w:ind w:left="425" w:hanging="425"/>
      </w:pPr>
      <w:rPr>
        <w:rFonts w:hint="default"/>
      </w:rPr>
    </w:lvl>
  </w:abstractNum>
  <w:abstractNum w:abstractNumId="20">
    <w:nsid w:val="41E17493"/>
    <w:multiLevelType w:val="singleLevel"/>
    <w:tmpl w:val="41E17493"/>
    <w:lvl w:ilvl="0" w:tentative="0">
      <w:start w:val="1"/>
      <w:numFmt w:val="decimalEnclosedCircleChinese"/>
      <w:suff w:val="nothing"/>
      <w:lvlText w:val="%1　"/>
      <w:lvlJc w:val="left"/>
      <w:pPr>
        <w:ind w:left="0" w:firstLine="400"/>
      </w:pPr>
      <w:rPr>
        <w:rFonts w:hint="eastAsia"/>
      </w:rPr>
    </w:lvl>
  </w:abstractNum>
  <w:abstractNum w:abstractNumId="21">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2">
    <w:nsid w:val="479D106A"/>
    <w:multiLevelType w:val="multilevel"/>
    <w:tmpl w:val="479D106A"/>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pStyle w:val="240"/>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5">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6">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7">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8">
    <w:nsid w:val="55D5FFC7"/>
    <w:multiLevelType w:val="singleLevel"/>
    <w:tmpl w:val="55D5FFC7"/>
    <w:lvl w:ilvl="0" w:tentative="0">
      <w:start w:val="1"/>
      <w:numFmt w:val="decimal"/>
      <w:lvlText w:val="%1)"/>
      <w:lvlJc w:val="left"/>
      <w:pPr>
        <w:ind w:left="425" w:hanging="425"/>
      </w:pPr>
      <w:rPr>
        <w:rFonts w:hint="default"/>
      </w:rPr>
    </w:lvl>
  </w:abstractNum>
  <w:abstractNum w:abstractNumId="29">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0">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A9FCD40"/>
    <w:multiLevelType w:val="singleLevel"/>
    <w:tmpl w:val="5A9FCD40"/>
    <w:lvl w:ilvl="0" w:tentative="0">
      <w:start w:val="1"/>
      <w:numFmt w:val="decimal"/>
      <w:lvlText w:val="%1)"/>
      <w:lvlJc w:val="left"/>
      <w:pPr>
        <w:ind w:left="425" w:hanging="425"/>
      </w:pPr>
      <w:rPr>
        <w:rFonts w:hint="default"/>
      </w:rPr>
    </w:lvl>
  </w:abstractNum>
  <w:abstractNum w:abstractNumId="32">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33">
    <w:nsid w:val="646260FA"/>
    <w:multiLevelType w:val="multilevel"/>
    <w:tmpl w:val="646260FA"/>
    <w:lvl w:ilvl="0" w:tentative="0">
      <w:start w:val="1"/>
      <w:numFmt w:val="decimal"/>
      <w:pStyle w:val="117"/>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4">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5">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6">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7">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0"/>
      <w:suff w:val="nothing"/>
      <w:lvlText w:val="%1%2.%3.%4　"/>
      <w:lvlJc w:val="left"/>
      <w:pPr>
        <w:ind w:left="0"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0">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1">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42">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9"/>
  </w:num>
  <w:num w:numId="3">
    <w:abstractNumId w:val="9"/>
  </w:num>
  <w:num w:numId="4">
    <w:abstractNumId w:val="35"/>
  </w:num>
  <w:num w:numId="5">
    <w:abstractNumId w:val="29"/>
  </w:num>
  <w:num w:numId="6">
    <w:abstractNumId w:val="23"/>
  </w:num>
  <w:num w:numId="7">
    <w:abstractNumId w:val="13"/>
  </w:num>
  <w:num w:numId="8">
    <w:abstractNumId w:val="7"/>
  </w:num>
  <w:num w:numId="9">
    <w:abstractNumId w:val="14"/>
  </w:num>
  <w:num w:numId="10">
    <w:abstractNumId w:val="26"/>
  </w:num>
  <w:num w:numId="11">
    <w:abstractNumId w:val="37"/>
  </w:num>
  <w:num w:numId="12">
    <w:abstractNumId w:val="17"/>
  </w:num>
  <w:num w:numId="13">
    <w:abstractNumId w:val="21"/>
  </w:num>
  <w:num w:numId="14">
    <w:abstractNumId w:val="12"/>
  </w:num>
  <w:num w:numId="15">
    <w:abstractNumId w:val="30"/>
  </w:num>
  <w:num w:numId="16">
    <w:abstractNumId w:val="33"/>
  </w:num>
  <w:num w:numId="17">
    <w:abstractNumId w:val="27"/>
  </w:num>
  <w:num w:numId="18">
    <w:abstractNumId w:val="41"/>
  </w:num>
  <w:num w:numId="19">
    <w:abstractNumId w:val="25"/>
  </w:num>
  <w:num w:numId="20">
    <w:abstractNumId w:val="5"/>
  </w:num>
  <w:num w:numId="21">
    <w:abstractNumId w:val="16"/>
  </w:num>
  <w:num w:numId="22">
    <w:abstractNumId w:val="42"/>
  </w:num>
  <w:num w:numId="23">
    <w:abstractNumId w:val="32"/>
  </w:num>
  <w:num w:numId="24">
    <w:abstractNumId w:val="10"/>
  </w:num>
  <w:num w:numId="25">
    <w:abstractNumId w:val="38"/>
  </w:num>
  <w:num w:numId="26">
    <w:abstractNumId w:val="40"/>
  </w:num>
  <w:num w:numId="27">
    <w:abstractNumId w:val="6"/>
  </w:num>
  <w:num w:numId="28">
    <w:abstractNumId w:val="8"/>
  </w:num>
  <w:num w:numId="29">
    <w:abstractNumId w:val="24"/>
  </w:num>
  <w:num w:numId="30">
    <w:abstractNumId w:val="36"/>
  </w:num>
  <w:num w:numId="31">
    <w:abstractNumId w:val="34"/>
  </w:num>
  <w:num w:numId="32">
    <w:abstractNumId w:val="22"/>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
  </w:num>
  <w:num w:numId="36">
    <w:abstractNumId w:val="18"/>
  </w:num>
  <w:num w:numId="37">
    <w:abstractNumId w:val="20"/>
  </w:num>
  <w:num w:numId="38">
    <w:abstractNumId w:val="19"/>
  </w:num>
  <w:num w:numId="39">
    <w:abstractNumId w:val="28"/>
  </w:num>
  <w:num w:numId="40">
    <w:abstractNumId w:val="31"/>
  </w:num>
  <w:num w:numId="41">
    <w:abstractNumId w:val="11"/>
  </w:num>
  <w:num w:numId="42">
    <w:abstractNumId w:val="1"/>
  </w:num>
  <w:num w:numId="43">
    <w:abstractNumId w:val="15"/>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dit="forms" w:enforcement="0"/>
  <w:defaultTabStop w:val="420"/>
  <w:drawingGridHorizontalSpacing w:val="105"/>
  <w:drawingGridVerticalSpacing w:val="156"/>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kZTVkNjVlNmUzMDA1NDM5N2RkM2I2YTlkNjhmMzgifQ=="/>
  </w:docVars>
  <w:rsids>
    <w:rsidRoot w:val="00172A2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3A67"/>
    <w:rsid w:val="00044286"/>
    <w:rsid w:val="00046A58"/>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510B"/>
    <w:rsid w:val="00086AA1"/>
    <w:rsid w:val="00087A77"/>
    <w:rsid w:val="00090CA6"/>
    <w:rsid w:val="00092B8A"/>
    <w:rsid w:val="00092FB0"/>
    <w:rsid w:val="000934C5"/>
    <w:rsid w:val="00093D25"/>
    <w:rsid w:val="00093DAB"/>
    <w:rsid w:val="00094D73"/>
    <w:rsid w:val="00096D11"/>
    <w:rsid w:val="00096D63"/>
    <w:rsid w:val="000A0B60"/>
    <w:rsid w:val="000A0EB8"/>
    <w:rsid w:val="000A19FC"/>
    <w:rsid w:val="000A296B"/>
    <w:rsid w:val="000A4832"/>
    <w:rsid w:val="000A7311"/>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2E3F"/>
    <w:rsid w:val="000D329A"/>
    <w:rsid w:val="000D4B9C"/>
    <w:rsid w:val="000D4EB6"/>
    <w:rsid w:val="000D753B"/>
    <w:rsid w:val="000E1CF4"/>
    <w:rsid w:val="000E4C9E"/>
    <w:rsid w:val="000E6FD7"/>
    <w:rsid w:val="000F06E1"/>
    <w:rsid w:val="000F0E3C"/>
    <w:rsid w:val="000F19D5"/>
    <w:rsid w:val="000F4AEA"/>
    <w:rsid w:val="000F67E9"/>
    <w:rsid w:val="00104926"/>
    <w:rsid w:val="00113B1E"/>
    <w:rsid w:val="0011711C"/>
    <w:rsid w:val="00124E4F"/>
    <w:rsid w:val="00125861"/>
    <w:rsid w:val="001260B7"/>
    <w:rsid w:val="001265CB"/>
    <w:rsid w:val="001321C6"/>
    <w:rsid w:val="001325C4"/>
    <w:rsid w:val="00133010"/>
    <w:rsid w:val="001338EE"/>
    <w:rsid w:val="00133AAE"/>
    <w:rsid w:val="00135323"/>
    <w:rsid w:val="001356C4"/>
    <w:rsid w:val="00136E43"/>
    <w:rsid w:val="00141114"/>
    <w:rsid w:val="00142969"/>
    <w:rsid w:val="001457E7"/>
    <w:rsid w:val="00145D9D"/>
    <w:rsid w:val="00146388"/>
    <w:rsid w:val="001472C5"/>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2A27"/>
    <w:rsid w:val="0017340B"/>
    <w:rsid w:val="00173FB1"/>
    <w:rsid w:val="00175601"/>
    <w:rsid w:val="00176DFD"/>
    <w:rsid w:val="001852C9"/>
    <w:rsid w:val="00187285"/>
    <w:rsid w:val="00190087"/>
    <w:rsid w:val="001913C4"/>
    <w:rsid w:val="001926F2"/>
    <w:rsid w:val="0019348F"/>
    <w:rsid w:val="00193A07"/>
    <w:rsid w:val="00194C95"/>
    <w:rsid w:val="00195C34"/>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F2C"/>
    <w:rsid w:val="00210B15"/>
    <w:rsid w:val="002142EA"/>
    <w:rsid w:val="00214DB3"/>
    <w:rsid w:val="002204BB"/>
    <w:rsid w:val="00221B79"/>
    <w:rsid w:val="00221C6B"/>
    <w:rsid w:val="00224596"/>
    <w:rsid w:val="002253A1"/>
    <w:rsid w:val="00225CF8"/>
    <w:rsid w:val="0022794E"/>
    <w:rsid w:val="00233D64"/>
    <w:rsid w:val="00234784"/>
    <w:rsid w:val="0023482A"/>
    <w:rsid w:val="002359CB"/>
    <w:rsid w:val="002410F1"/>
    <w:rsid w:val="00243540"/>
    <w:rsid w:val="0024497B"/>
    <w:rsid w:val="0024515B"/>
    <w:rsid w:val="00246021"/>
    <w:rsid w:val="0024666E"/>
    <w:rsid w:val="00247F52"/>
    <w:rsid w:val="00250B25"/>
    <w:rsid w:val="00250BBE"/>
    <w:rsid w:val="002515C2"/>
    <w:rsid w:val="0025194F"/>
    <w:rsid w:val="0026148A"/>
    <w:rsid w:val="00262696"/>
    <w:rsid w:val="002643C3"/>
    <w:rsid w:val="00264A0C"/>
    <w:rsid w:val="00267EF4"/>
    <w:rsid w:val="00270CB8"/>
    <w:rsid w:val="00272B08"/>
    <w:rsid w:val="00281BB8"/>
    <w:rsid w:val="00281E9E"/>
    <w:rsid w:val="00285170"/>
    <w:rsid w:val="00285361"/>
    <w:rsid w:val="002907C4"/>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D5A"/>
    <w:rsid w:val="002E6326"/>
    <w:rsid w:val="002F30E0"/>
    <w:rsid w:val="002F35E4"/>
    <w:rsid w:val="002F3730"/>
    <w:rsid w:val="002F38E1"/>
    <w:rsid w:val="002F6970"/>
    <w:rsid w:val="002F7AF6"/>
    <w:rsid w:val="00300E63"/>
    <w:rsid w:val="00302F5F"/>
    <w:rsid w:val="0030441D"/>
    <w:rsid w:val="00306063"/>
    <w:rsid w:val="00311D10"/>
    <w:rsid w:val="00313B85"/>
    <w:rsid w:val="00317988"/>
    <w:rsid w:val="003221B4"/>
    <w:rsid w:val="00322E62"/>
    <w:rsid w:val="00324EDD"/>
    <w:rsid w:val="00327C2B"/>
    <w:rsid w:val="003331E4"/>
    <w:rsid w:val="00333E4F"/>
    <w:rsid w:val="00336C64"/>
    <w:rsid w:val="00337162"/>
    <w:rsid w:val="00337570"/>
    <w:rsid w:val="0034194F"/>
    <w:rsid w:val="00344605"/>
    <w:rsid w:val="003474AA"/>
    <w:rsid w:val="00350D1D"/>
    <w:rsid w:val="00352C83"/>
    <w:rsid w:val="003615D2"/>
    <w:rsid w:val="00361F4D"/>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A6B66"/>
    <w:rsid w:val="003B09AD"/>
    <w:rsid w:val="003B0BD9"/>
    <w:rsid w:val="003B1A6D"/>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4869"/>
    <w:rsid w:val="00405884"/>
    <w:rsid w:val="00407D39"/>
    <w:rsid w:val="004125AF"/>
    <w:rsid w:val="0041477A"/>
    <w:rsid w:val="004167A3"/>
    <w:rsid w:val="00416F83"/>
    <w:rsid w:val="00422C41"/>
    <w:rsid w:val="00427DD7"/>
    <w:rsid w:val="00432DAA"/>
    <w:rsid w:val="00434305"/>
    <w:rsid w:val="00435DF7"/>
    <w:rsid w:val="0044083F"/>
    <w:rsid w:val="00441AE7"/>
    <w:rsid w:val="00445574"/>
    <w:rsid w:val="004467FB"/>
    <w:rsid w:val="00452D6B"/>
    <w:rsid w:val="00453FE2"/>
    <w:rsid w:val="00454484"/>
    <w:rsid w:val="0045517B"/>
    <w:rsid w:val="00463B77"/>
    <w:rsid w:val="00463C7B"/>
    <w:rsid w:val="004644A6"/>
    <w:rsid w:val="0046550B"/>
    <w:rsid w:val="004659BD"/>
    <w:rsid w:val="00470775"/>
    <w:rsid w:val="004715BD"/>
    <w:rsid w:val="004746B1"/>
    <w:rsid w:val="0047583F"/>
    <w:rsid w:val="00484936"/>
    <w:rsid w:val="00485C89"/>
    <w:rsid w:val="00486BE3"/>
    <w:rsid w:val="004905E4"/>
    <w:rsid w:val="00490A89"/>
    <w:rsid w:val="00490AB4"/>
    <w:rsid w:val="004920D8"/>
    <w:rsid w:val="00492F02"/>
    <w:rsid w:val="004939AE"/>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B86"/>
    <w:rsid w:val="004E1C0A"/>
    <w:rsid w:val="004E30C5"/>
    <w:rsid w:val="004E4AA5"/>
    <w:rsid w:val="004E4AEE"/>
    <w:rsid w:val="004E59E3"/>
    <w:rsid w:val="004E67C0"/>
    <w:rsid w:val="004F391A"/>
    <w:rsid w:val="004F3CFB"/>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5E5A"/>
    <w:rsid w:val="005479DA"/>
    <w:rsid w:val="00547BCC"/>
    <w:rsid w:val="0055013B"/>
    <w:rsid w:val="00551F6F"/>
    <w:rsid w:val="00555044"/>
    <w:rsid w:val="00561475"/>
    <w:rsid w:val="0056487B"/>
    <w:rsid w:val="00564FB9"/>
    <w:rsid w:val="00572A2C"/>
    <w:rsid w:val="00573D9E"/>
    <w:rsid w:val="005801E3"/>
    <w:rsid w:val="00581802"/>
    <w:rsid w:val="005836A8"/>
    <w:rsid w:val="0058409C"/>
    <w:rsid w:val="00584262"/>
    <w:rsid w:val="00586630"/>
    <w:rsid w:val="00587763"/>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E63"/>
    <w:rsid w:val="005D4171"/>
    <w:rsid w:val="005D6A95"/>
    <w:rsid w:val="005D6B2C"/>
    <w:rsid w:val="005D6D9C"/>
    <w:rsid w:val="005E2335"/>
    <w:rsid w:val="005E34CA"/>
    <w:rsid w:val="005E3C18"/>
    <w:rsid w:val="005E6812"/>
    <w:rsid w:val="005E7829"/>
    <w:rsid w:val="005E7881"/>
    <w:rsid w:val="005E78E0"/>
    <w:rsid w:val="005F0D9C"/>
    <w:rsid w:val="005F284E"/>
    <w:rsid w:val="006015CE"/>
    <w:rsid w:val="00604784"/>
    <w:rsid w:val="00606419"/>
    <w:rsid w:val="00607D29"/>
    <w:rsid w:val="00610597"/>
    <w:rsid w:val="00612952"/>
    <w:rsid w:val="00614CC1"/>
    <w:rsid w:val="00615A9D"/>
    <w:rsid w:val="00617387"/>
    <w:rsid w:val="006252D8"/>
    <w:rsid w:val="006259BC"/>
    <w:rsid w:val="0062636B"/>
    <w:rsid w:val="00632182"/>
    <w:rsid w:val="00632AE0"/>
    <w:rsid w:val="00633C17"/>
    <w:rsid w:val="00636E3E"/>
    <w:rsid w:val="006379F7"/>
    <w:rsid w:val="00637E4D"/>
    <w:rsid w:val="00640620"/>
    <w:rsid w:val="00641A1F"/>
    <w:rsid w:val="0064210E"/>
    <w:rsid w:val="00642D15"/>
    <w:rsid w:val="0064528D"/>
    <w:rsid w:val="00645904"/>
    <w:rsid w:val="00651ACB"/>
    <w:rsid w:val="00651C47"/>
    <w:rsid w:val="00652AB2"/>
    <w:rsid w:val="00654EC0"/>
    <w:rsid w:val="0065525B"/>
    <w:rsid w:val="00655D4F"/>
    <w:rsid w:val="006640E5"/>
    <w:rsid w:val="006646F1"/>
    <w:rsid w:val="00664929"/>
    <w:rsid w:val="00664F62"/>
    <w:rsid w:val="006655E1"/>
    <w:rsid w:val="00665BAD"/>
    <w:rsid w:val="00672060"/>
    <w:rsid w:val="00672BFD"/>
    <w:rsid w:val="0067641B"/>
    <w:rsid w:val="006770F4"/>
    <w:rsid w:val="00677A84"/>
    <w:rsid w:val="0068026D"/>
    <w:rsid w:val="00680A27"/>
    <w:rsid w:val="006816A4"/>
    <w:rsid w:val="006819B8"/>
    <w:rsid w:val="006840A6"/>
    <w:rsid w:val="006850CD"/>
    <w:rsid w:val="00685966"/>
    <w:rsid w:val="00685AAB"/>
    <w:rsid w:val="00692977"/>
    <w:rsid w:val="006A07AA"/>
    <w:rsid w:val="006A25E5"/>
    <w:rsid w:val="006A2B46"/>
    <w:rsid w:val="006A336D"/>
    <w:rsid w:val="006A37B9"/>
    <w:rsid w:val="006B2672"/>
    <w:rsid w:val="006B54BF"/>
    <w:rsid w:val="006B5F44"/>
    <w:rsid w:val="006B5F90"/>
    <w:rsid w:val="006B62E4"/>
    <w:rsid w:val="006B7562"/>
    <w:rsid w:val="006C1BBA"/>
    <w:rsid w:val="006C2079"/>
    <w:rsid w:val="006C5A62"/>
    <w:rsid w:val="006C5D68"/>
    <w:rsid w:val="006C6976"/>
    <w:rsid w:val="006C6DD0"/>
    <w:rsid w:val="006D04EA"/>
    <w:rsid w:val="006D16C4"/>
    <w:rsid w:val="006D3E96"/>
    <w:rsid w:val="006D4515"/>
    <w:rsid w:val="006D4BB1"/>
    <w:rsid w:val="006D6593"/>
    <w:rsid w:val="006F03A8"/>
    <w:rsid w:val="006F0EF1"/>
    <w:rsid w:val="006F126C"/>
    <w:rsid w:val="006F2ACA"/>
    <w:rsid w:val="006F2ADC"/>
    <w:rsid w:val="006F2BFE"/>
    <w:rsid w:val="006F31E9"/>
    <w:rsid w:val="006F56E5"/>
    <w:rsid w:val="006F6284"/>
    <w:rsid w:val="006F71E1"/>
    <w:rsid w:val="007002C5"/>
    <w:rsid w:val="0070348B"/>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EE1"/>
    <w:rsid w:val="00752B4D"/>
    <w:rsid w:val="00755212"/>
    <w:rsid w:val="00755402"/>
    <w:rsid w:val="00756B26"/>
    <w:rsid w:val="00756EDF"/>
    <w:rsid w:val="0075771E"/>
    <w:rsid w:val="00765C43"/>
    <w:rsid w:val="00765EFB"/>
    <w:rsid w:val="007671CA"/>
    <w:rsid w:val="0076744F"/>
    <w:rsid w:val="00767C61"/>
    <w:rsid w:val="0077008A"/>
    <w:rsid w:val="00773C1F"/>
    <w:rsid w:val="00774DA4"/>
    <w:rsid w:val="00776599"/>
    <w:rsid w:val="0078114B"/>
    <w:rsid w:val="00781DD2"/>
    <w:rsid w:val="00783ECF"/>
    <w:rsid w:val="0078413A"/>
    <w:rsid w:val="007878AD"/>
    <w:rsid w:val="007959E8"/>
    <w:rsid w:val="00795E9C"/>
    <w:rsid w:val="007A0521"/>
    <w:rsid w:val="007A2E12"/>
    <w:rsid w:val="007A3475"/>
    <w:rsid w:val="007A41C8"/>
    <w:rsid w:val="007A53FF"/>
    <w:rsid w:val="007A54CE"/>
    <w:rsid w:val="007A573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31D"/>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73A"/>
    <w:rsid w:val="00854343"/>
    <w:rsid w:val="008601F8"/>
    <w:rsid w:val="008603CE"/>
    <w:rsid w:val="008620FC"/>
    <w:rsid w:val="008627A5"/>
    <w:rsid w:val="00863E05"/>
    <w:rsid w:val="00865ACA"/>
    <w:rsid w:val="00865D28"/>
    <w:rsid w:val="00865F85"/>
    <w:rsid w:val="00867AEA"/>
    <w:rsid w:val="00867C10"/>
    <w:rsid w:val="00870439"/>
    <w:rsid w:val="00870DA1"/>
    <w:rsid w:val="00883F93"/>
    <w:rsid w:val="00884DB3"/>
    <w:rsid w:val="00885642"/>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5F2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36276"/>
    <w:rsid w:val="009429D5"/>
    <w:rsid w:val="00942BF1"/>
    <w:rsid w:val="00945180"/>
    <w:rsid w:val="00945428"/>
    <w:rsid w:val="0094607B"/>
    <w:rsid w:val="00953604"/>
    <w:rsid w:val="0095496B"/>
    <w:rsid w:val="0095648A"/>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97D30"/>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D72B9"/>
    <w:rsid w:val="009E0F62"/>
    <w:rsid w:val="009E1848"/>
    <w:rsid w:val="009E4A58"/>
    <w:rsid w:val="009E5A2D"/>
    <w:rsid w:val="009E5AB2"/>
    <w:rsid w:val="009E6219"/>
    <w:rsid w:val="009F03B3"/>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984"/>
    <w:rsid w:val="00A31E6F"/>
    <w:rsid w:val="00A32D73"/>
    <w:rsid w:val="00A3367B"/>
    <w:rsid w:val="00A3597D"/>
    <w:rsid w:val="00A4006C"/>
    <w:rsid w:val="00A40091"/>
    <w:rsid w:val="00A4030F"/>
    <w:rsid w:val="00A41C79"/>
    <w:rsid w:val="00A41CB5"/>
    <w:rsid w:val="00A42CDF"/>
    <w:rsid w:val="00A4452E"/>
    <w:rsid w:val="00A4472C"/>
    <w:rsid w:val="00A44E69"/>
    <w:rsid w:val="00A4661E"/>
    <w:rsid w:val="00A47D7B"/>
    <w:rsid w:val="00A55BD6"/>
    <w:rsid w:val="00A55D50"/>
    <w:rsid w:val="00A57142"/>
    <w:rsid w:val="00A648CD"/>
    <w:rsid w:val="00A6537A"/>
    <w:rsid w:val="00A67866"/>
    <w:rsid w:val="00A70B07"/>
    <w:rsid w:val="00A723F8"/>
    <w:rsid w:val="00A730E1"/>
    <w:rsid w:val="00A77CCB"/>
    <w:rsid w:val="00A83D8D"/>
    <w:rsid w:val="00A8446B"/>
    <w:rsid w:val="00A8473F"/>
    <w:rsid w:val="00A862D6"/>
    <w:rsid w:val="00A8715E"/>
    <w:rsid w:val="00A87647"/>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89"/>
    <w:rsid w:val="00AE070A"/>
    <w:rsid w:val="00AE101C"/>
    <w:rsid w:val="00AE5EB4"/>
    <w:rsid w:val="00AF0C18"/>
    <w:rsid w:val="00AF47C5"/>
    <w:rsid w:val="00AF5398"/>
    <w:rsid w:val="00B004C3"/>
    <w:rsid w:val="00B049AF"/>
    <w:rsid w:val="00B07242"/>
    <w:rsid w:val="00B10534"/>
    <w:rsid w:val="00B113DB"/>
    <w:rsid w:val="00B11D8A"/>
    <w:rsid w:val="00B12981"/>
    <w:rsid w:val="00B147DD"/>
    <w:rsid w:val="00B156FD"/>
    <w:rsid w:val="00B21F61"/>
    <w:rsid w:val="00B261F1"/>
    <w:rsid w:val="00B265BC"/>
    <w:rsid w:val="00B31FB1"/>
    <w:rsid w:val="00B33560"/>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2B58"/>
    <w:rsid w:val="00B65149"/>
    <w:rsid w:val="00B66567"/>
    <w:rsid w:val="00B66F52"/>
    <w:rsid w:val="00B66FE5"/>
    <w:rsid w:val="00B72880"/>
    <w:rsid w:val="00B758BF"/>
    <w:rsid w:val="00B827A6"/>
    <w:rsid w:val="00B831CE"/>
    <w:rsid w:val="00B86677"/>
    <w:rsid w:val="00B87131"/>
    <w:rsid w:val="00B939B1"/>
    <w:rsid w:val="00B96D40"/>
    <w:rsid w:val="00B97386"/>
    <w:rsid w:val="00B978DB"/>
    <w:rsid w:val="00BA263B"/>
    <w:rsid w:val="00BA42B2"/>
    <w:rsid w:val="00BA58D4"/>
    <w:rsid w:val="00BA5B9E"/>
    <w:rsid w:val="00BA7C9A"/>
    <w:rsid w:val="00BB5F8F"/>
    <w:rsid w:val="00BB657A"/>
    <w:rsid w:val="00BB6DA2"/>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20FB"/>
    <w:rsid w:val="00C04904"/>
    <w:rsid w:val="00C056B3"/>
    <w:rsid w:val="00C103E5"/>
    <w:rsid w:val="00C11035"/>
    <w:rsid w:val="00C13319"/>
    <w:rsid w:val="00C13EE9"/>
    <w:rsid w:val="00C144D0"/>
    <w:rsid w:val="00C21540"/>
    <w:rsid w:val="00C21906"/>
    <w:rsid w:val="00C21BFA"/>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2212"/>
    <w:rsid w:val="00C6329F"/>
    <w:rsid w:val="00C63340"/>
    <w:rsid w:val="00C643F9"/>
    <w:rsid w:val="00C64E95"/>
    <w:rsid w:val="00C71372"/>
    <w:rsid w:val="00C72410"/>
    <w:rsid w:val="00C7287F"/>
    <w:rsid w:val="00C80CB8"/>
    <w:rsid w:val="00C819F8"/>
    <w:rsid w:val="00C8248C"/>
    <w:rsid w:val="00C84E33"/>
    <w:rsid w:val="00C868DA"/>
    <w:rsid w:val="00C86D6F"/>
    <w:rsid w:val="00C905FC"/>
    <w:rsid w:val="00C92D03"/>
    <w:rsid w:val="00C9319C"/>
    <w:rsid w:val="00C9435D"/>
    <w:rsid w:val="00C958CB"/>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4B9B"/>
    <w:rsid w:val="00CD50A1"/>
    <w:rsid w:val="00CD519E"/>
    <w:rsid w:val="00CE0C4F"/>
    <w:rsid w:val="00CE30EA"/>
    <w:rsid w:val="00CF048A"/>
    <w:rsid w:val="00CF155A"/>
    <w:rsid w:val="00CF2947"/>
    <w:rsid w:val="00CF3281"/>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6221"/>
    <w:rsid w:val="00D20737"/>
    <w:rsid w:val="00D21E81"/>
    <w:rsid w:val="00D223DE"/>
    <w:rsid w:val="00D25E37"/>
    <w:rsid w:val="00D2661A"/>
    <w:rsid w:val="00D27582"/>
    <w:rsid w:val="00D32719"/>
    <w:rsid w:val="00D33333"/>
    <w:rsid w:val="00D34CB7"/>
    <w:rsid w:val="00D352A2"/>
    <w:rsid w:val="00D4162B"/>
    <w:rsid w:val="00D4514F"/>
    <w:rsid w:val="00D451E2"/>
    <w:rsid w:val="00D45971"/>
    <w:rsid w:val="00D45E89"/>
    <w:rsid w:val="00D45E8D"/>
    <w:rsid w:val="00D466AE"/>
    <w:rsid w:val="00D4734F"/>
    <w:rsid w:val="00D51BF3"/>
    <w:rsid w:val="00D54B98"/>
    <w:rsid w:val="00D559D0"/>
    <w:rsid w:val="00D66846"/>
    <w:rsid w:val="00D675FB"/>
    <w:rsid w:val="00D71678"/>
    <w:rsid w:val="00D71F25"/>
    <w:rsid w:val="00D73E2F"/>
    <w:rsid w:val="00D74049"/>
    <w:rsid w:val="00D77031"/>
    <w:rsid w:val="00D80F20"/>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66CA"/>
    <w:rsid w:val="00DB6BCA"/>
    <w:rsid w:val="00DB7113"/>
    <w:rsid w:val="00DC0321"/>
    <w:rsid w:val="00DC1F19"/>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158A"/>
    <w:rsid w:val="00E02DFB"/>
    <w:rsid w:val="00E030F9"/>
    <w:rsid w:val="00E0311A"/>
    <w:rsid w:val="00E03138"/>
    <w:rsid w:val="00E06404"/>
    <w:rsid w:val="00E106E6"/>
    <w:rsid w:val="00E11A85"/>
    <w:rsid w:val="00E12495"/>
    <w:rsid w:val="00E15CCD"/>
    <w:rsid w:val="00E15D9E"/>
    <w:rsid w:val="00E17DB9"/>
    <w:rsid w:val="00E202EF"/>
    <w:rsid w:val="00E210B5"/>
    <w:rsid w:val="00E2552F"/>
    <w:rsid w:val="00E27036"/>
    <w:rsid w:val="00E3137A"/>
    <w:rsid w:val="00E32213"/>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5DFF"/>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D5986"/>
    <w:rsid w:val="00EE0350"/>
    <w:rsid w:val="00EE0719"/>
    <w:rsid w:val="00EE0E80"/>
    <w:rsid w:val="00EE512A"/>
    <w:rsid w:val="00EE613F"/>
    <w:rsid w:val="00EE7295"/>
    <w:rsid w:val="00EE7869"/>
    <w:rsid w:val="00EF054A"/>
    <w:rsid w:val="00EF3235"/>
    <w:rsid w:val="00EF7E72"/>
    <w:rsid w:val="00F05477"/>
    <w:rsid w:val="00F05D5A"/>
    <w:rsid w:val="00F06D37"/>
    <w:rsid w:val="00F07B9D"/>
    <w:rsid w:val="00F10926"/>
    <w:rsid w:val="00F11586"/>
    <w:rsid w:val="00F1183B"/>
    <w:rsid w:val="00F11C9F"/>
    <w:rsid w:val="00F12263"/>
    <w:rsid w:val="00F1409D"/>
    <w:rsid w:val="00F14214"/>
    <w:rsid w:val="00F157A9"/>
    <w:rsid w:val="00F25BB6"/>
    <w:rsid w:val="00F26B7E"/>
    <w:rsid w:val="00F27441"/>
    <w:rsid w:val="00F27A3B"/>
    <w:rsid w:val="00F33817"/>
    <w:rsid w:val="00F3447F"/>
    <w:rsid w:val="00F3532D"/>
    <w:rsid w:val="00F420D5"/>
    <w:rsid w:val="00F451EA"/>
    <w:rsid w:val="00F45447"/>
    <w:rsid w:val="00F456C6"/>
    <w:rsid w:val="00F4577B"/>
    <w:rsid w:val="00F46496"/>
    <w:rsid w:val="00F474D0"/>
    <w:rsid w:val="00F50179"/>
    <w:rsid w:val="00F51DCA"/>
    <w:rsid w:val="00F56511"/>
    <w:rsid w:val="00F6194E"/>
    <w:rsid w:val="00F623AC"/>
    <w:rsid w:val="00F6412A"/>
    <w:rsid w:val="00F65893"/>
    <w:rsid w:val="00F66A4A"/>
    <w:rsid w:val="00F71E22"/>
    <w:rsid w:val="00F72142"/>
    <w:rsid w:val="00F72AE7"/>
    <w:rsid w:val="00F833BA"/>
    <w:rsid w:val="00F84FD0"/>
    <w:rsid w:val="00F859A8"/>
    <w:rsid w:val="00F9108B"/>
    <w:rsid w:val="00F91349"/>
    <w:rsid w:val="00F93A8A"/>
    <w:rsid w:val="00F95248"/>
    <w:rsid w:val="00F956A9"/>
    <w:rsid w:val="00F963ED"/>
    <w:rsid w:val="00F966CF"/>
    <w:rsid w:val="00F96CAE"/>
    <w:rsid w:val="00F97C99"/>
    <w:rsid w:val="00FA662D"/>
    <w:rsid w:val="00FA6730"/>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037"/>
    <w:rsid w:val="00FE4BCE"/>
    <w:rsid w:val="00FE54AE"/>
    <w:rsid w:val="00FE576A"/>
    <w:rsid w:val="00FE7E79"/>
    <w:rsid w:val="00FF2BDC"/>
    <w:rsid w:val="00FF36C7"/>
    <w:rsid w:val="00FF3E7D"/>
    <w:rsid w:val="00FF5B99"/>
    <w:rsid w:val="00FF730C"/>
    <w:rsid w:val="00FF73F4"/>
    <w:rsid w:val="00FF7CE4"/>
    <w:rsid w:val="00FF7E39"/>
    <w:rsid w:val="011E1FE4"/>
    <w:rsid w:val="01200DBA"/>
    <w:rsid w:val="012A046C"/>
    <w:rsid w:val="014852B3"/>
    <w:rsid w:val="01792184"/>
    <w:rsid w:val="017D75D9"/>
    <w:rsid w:val="01FF6994"/>
    <w:rsid w:val="02111B48"/>
    <w:rsid w:val="021D673F"/>
    <w:rsid w:val="02380E83"/>
    <w:rsid w:val="024737BC"/>
    <w:rsid w:val="02532161"/>
    <w:rsid w:val="02672F4B"/>
    <w:rsid w:val="02A62291"/>
    <w:rsid w:val="02AE55E9"/>
    <w:rsid w:val="02B80216"/>
    <w:rsid w:val="02C10E79"/>
    <w:rsid w:val="02CC181F"/>
    <w:rsid w:val="02D52B76"/>
    <w:rsid w:val="02E42DB9"/>
    <w:rsid w:val="02E5127E"/>
    <w:rsid w:val="02F70D3E"/>
    <w:rsid w:val="02F72AEC"/>
    <w:rsid w:val="02FA25DD"/>
    <w:rsid w:val="03086AA8"/>
    <w:rsid w:val="03100052"/>
    <w:rsid w:val="03192A63"/>
    <w:rsid w:val="03327FC8"/>
    <w:rsid w:val="03353615"/>
    <w:rsid w:val="03D33559"/>
    <w:rsid w:val="03DE5A5A"/>
    <w:rsid w:val="047A5783"/>
    <w:rsid w:val="04EB042F"/>
    <w:rsid w:val="052B2F21"/>
    <w:rsid w:val="05551D4C"/>
    <w:rsid w:val="055C757F"/>
    <w:rsid w:val="05CB200E"/>
    <w:rsid w:val="05E01F5E"/>
    <w:rsid w:val="05E37A58"/>
    <w:rsid w:val="05FB0B46"/>
    <w:rsid w:val="06417592"/>
    <w:rsid w:val="065B7836"/>
    <w:rsid w:val="06782196"/>
    <w:rsid w:val="067F3525"/>
    <w:rsid w:val="068831B8"/>
    <w:rsid w:val="068E5516"/>
    <w:rsid w:val="06BF13F2"/>
    <w:rsid w:val="06C278B5"/>
    <w:rsid w:val="06C47189"/>
    <w:rsid w:val="06F64E96"/>
    <w:rsid w:val="07020765"/>
    <w:rsid w:val="07140111"/>
    <w:rsid w:val="07726BE5"/>
    <w:rsid w:val="07B957A1"/>
    <w:rsid w:val="07C66F31"/>
    <w:rsid w:val="08183C31"/>
    <w:rsid w:val="082A15C4"/>
    <w:rsid w:val="086504F8"/>
    <w:rsid w:val="086E1AA3"/>
    <w:rsid w:val="08732C15"/>
    <w:rsid w:val="089A2898"/>
    <w:rsid w:val="089A7B0F"/>
    <w:rsid w:val="08A16ACD"/>
    <w:rsid w:val="08B33959"/>
    <w:rsid w:val="08DD09D6"/>
    <w:rsid w:val="09170399"/>
    <w:rsid w:val="092959CA"/>
    <w:rsid w:val="092C1016"/>
    <w:rsid w:val="093700E7"/>
    <w:rsid w:val="093F2ABC"/>
    <w:rsid w:val="096D58B6"/>
    <w:rsid w:val="09864BCA"/>
    <w:rsid w:val="09866978"/>
    <w:rsid w:val="099345B9"/>
    <w:rsid w:val="09A272FF"/>
    <w:rsid w:val="09B3229D"/>
    <w:rsid w:val="09DA7986"/>
    <w:rsid w:val="09F00295"/>
    <w:rsid w:val="09F67FE5"/>
    <w:rsid w:val="0A1172C4"/>
    <w:rsid w:val="0A153787"/>
    <w:rsid w:val="0A285C81"/>
    <w:rsid w:val="0A2B0DCB"/>
    <w:rsid w:val="0A3D79E6"/>
    <w:rsid w:val="0A40746F"/>
    <w:rsid w:val="0A474359"/>
    <w:rsid w:val="0A481E7F"/>
    <w:rsid w:val="0A7669ED"/>
    <w:rsid w:val="0A951569"/>
    <w:rsid w:val="0A96708F"/>
    <w:rsid w:val="0AA7129C"/>
    <w:rsid w:val="0AB539B9"/>
    <w:rsid w:val="0AC05EBA"/>
    <w:rsid w:val="0AF65D7F"/>
    <w:rsid w:val="0AF73FD1"/>
    <w:rsid w:val="0B057D70"/>
    <w:rsid w:val="0B386398"/>
    <w:rsid w:val="0B476C05"/>
    <w:rsid w:val="0B837613"/>
    <w:rsid w:val="0B9510F4"/>
    <w:rsid w:val="0BA852CC"/>
    <w:rsid w:val="0BAA1044"/>
    <w:rsid w:val="0BEB51B8"/>
    <w:rsid w:val="0C0C51C6"/>
    <w:rsid w:val="0C4164BA"/>
    <w:rsid w:val="0C497634"/>
    <w:rsid w:val="0C811679"/>
    <w:rsid w:val="0C9D7416"/>
    <w:rsid w:val="0CA23AC9"/>
    <w:rsid w:val="0CA77331"/>
    <w:rsid w:val="0CB11F5E"/>
    <w:rsid w:val="0CB952B6"/>
    <w:rsid w:val="0CEC11E8"/>
    <w:rsid w:val="0D1F336B"/>
    <w:rsid w:val="0D246BD4"/>
    <w:rsid w:val="0D7950C4"/>
    <w:rsid w:val="0D7D0092"/>
    <w:rsid w:val="0DA46866"/>
    <w:rsid w:val="0DB77A48"/>
    <w:rsid w:val="0DDA54E4"/>
    <w:rsid w:val="0DFE7425"/>
    <w:rsid w:val="0E855450"/>
    <w:rsid w:val="0E9D794C"/>
    <w:rsid w:val="0EE45AF8"/>
    <w:rsid w:val="0EF3008B"/>
    <w:rsid w:val="0EF654C7"/>
    <w:rsid w:val="0F3B0205"/>
    <w:rsid w:val="0F5F0397"/>
    <w:rsid w:val="0F5F5CA1"/>
    <w:rsid w:val="0F9D2C6D"/>
    <w:rsid w:val="0FF8425F"/>
    <w:rsid w:val="10080077"/>
    <w:rsid w:val="101B2197"/>
    <w:rsid w:val="102C14F8"/>
    <w:rsid w:val="102D4A39"/>
    <w:rsid w:val="107514F4"/>
    <w:rsid w:val="10861954"/>
    <w:rsid w:val="10DD77C5"/>
    <w:rsid w:val="10F16DCD"/>
    <w:rsid w:val="113D34AB"/>
    <w:rsid w:val="117A5014"/>
    <w:rsid w:val="118E0AC0"/>
    <w:rsid w:val="11A83289"/>
    <w:rsid w:val="11D230A2"/>
    <w:rsid w:val="11E150AB"/>
    <w:rsid w:val="121E178F"/>
    <w:rsid w:val="121E62E8"/>
    <w:rsid w:val="12816876"/>
    <w:rsid w:val="128A74D9"/>
    <w:rsid w:val="129E2F84"/>
    <w:rsid w:val="12A32349"/>
    <w:rsid w:val="12B94041"/>
    <w:rsid w:val="12BA4EDC"/>
    <w:rsid w:val="12C624DB"/>
    <w:rsid w:val="12D1335A"/>
    <w:rsid w:val="12EA7F78"/>
    <w:rsid w:val="13257202"/>
    <w:rsid w:val="13477178"/>
    <w:rsid w:val="13500F50"/>
    <w:rsid w:val="135B46A9"/>
    <w:rsid w:val="137D0DEC"/>
    <w:rsid w:val="13AF4D1D"/>
    <w:rsid w:val="13B32A60"/>
    <w:rsid w:val="13DA623E"/>
    <w:rsid w:val="13DD5D2E"/>
    <w:rsid w:val="13FB7F63"/>
    <w:rsid w:val="13FD1F2D"/>
    <w:rsid w:val="140212F1"/>
    <w:rsid w:val="143C2A55"/>
    <w:rsid w:val="145A737F"/>
    <w:rsid w:val="1468384A"/>
    <w:rsid w:val="14972381"/>
    <w:rsid w:val="14A30D26"/>
    <w:rsid w:val="14BC78BC"/>
    <w:rsid w:val="14D02DF5"/>
    <w:rsid w:val="14E135FC"/>
    <w:rsid w:val="14E341E2"/>
    <w:rsid w:val="15155054"/>
    <w:rsid w:val="152534E9"/>
    <w:rsid w:val="1542409B"/>
    <w:rsid w:val="15543DCE"/>
    <w:rsid w:val="15656E31"/>
    <w:rsid w:val="15757437"/>
    <w:rsid w:val="157F0926"/>
    <w:rsid w:val="15A22D8C"/>
    <w:rsid w:val="15DE18EA"/>
    <w:rsid w:val="15F80BFE"/>
    <w:rsid w:val="166167A3"/>
    <w:rsid w:val="169F1079"/>
    <w:rsid w:val="16D1671C"/>
    <w:rsid w:val="17683B61"/>
    <w:rsid w:val="176C18A3"/>
    <w:rsid w:val="17740758"/>
    <w:rsid w:val="17941B5E"/>
    <w:rsid w:val="17966920"/>
    <w:rsid w:val="17984446"/>
    <w:rsid w:val="17CF4183"/>
    <w:rsid w:val="17FF6273"/>
    <w:rsid w:val="180A5720"/>
    <w:rsid w:val="182A7068"/>
    <w:rsid w:val="18697B91"/>
    <w:rsid w:val="188350F6"/>
    <w:rsid w:val="188E75F7"/>
    <w:rsid w:val="189E3CDE"/>
    <w:rsid w:val="18A21E2F"/>
    <w:rsid w:val="18D07C10"/>
    <w:rsid w:val="18DC0363"/>
    <w:rsid w:val="19120808"/>
    <w:rsid w:val="1954439D"/>
    <w:rsid w:val="19C05F96"/>
    <w:rsid w:val="19D21766"/>
    <w:rsid w:val="1A082B6F"/>
    <w:rsid w:val="1A654388"/>
    <w:rsid w:val="1A8C1DD9"/>
    <w:rsid w:val="1A907657"/>
    <w:rsid w:val="1A91517D"/>
    <w:rsid w:val="1A98033D"/>
    <w:rsid w:val="1AA255DC"/>
    <w:rsid w:val="1AB175CD"/>
    <w:rsid w:val="1AC11F06"/>
    <w:rsid w:val="1AF75B20"/>
    <w:rsid w:val="1B75684C"/>
    <w:rsid w:val="1B8A22F8"/>
    <w:rsid w:val="1BC927FD"/>
    <w:rsid w:val="1C085913"/>
    <w:rsid w:val="1C316C17"/>
    <w:rsid w:val="1C8C02F2"/>
    <w:rsid w:val="1C9D24FF"/>
    <w:rsid w:val="1CA94A00"/>
    <w:rsid w:val="1CC63804"/>
    <w:rsid w:val="1CD13F56"/>
    <w:rsid w:val="1D306ECF"/>
    <w:rsid w:val="1D3249F5"/>
    <w:rsid w:val="1D491D3F"/>
    <w:rsid w:val="1D5726AE"/>
    <w:rsid w:val="1D6628F1"/>
    <w:rsid w:val="1D67129B"/>
    <w:rsid w:val="1D6A0633"/>
    <w:rsid w:val="1D6B43AB"/>
    <w:rsid w:val="1DA8115B"/>
    <w:rsid w:val="1DCD2970"/>
    <w:rsid w:val="1DD957B9"/>
    <w:rsid w:val="1DF158DE"/>
    <w:rsid w:val="1DF93765"/>
    <w:rsid w:val="1E1467F1"/>
    <w:rsid w:val="1E560BB7"/>
    <w:rsid w:val="1E6257AE"/>
    <w:rsid w:val="1EA0669C"/>
    <w:rsid w:val="1ECE5E00"/>
    <w:rsid w:val="1ED57074"/>
    <w:rsid w:val="1F134CFA"/>
    <w:rsid w:val="1F9803AC"/>
    <w:rsid w:val="1FCF6E73"/>
    <w:rsid w:val="1FF25BE0"/>
    <w:rsid w:val="200F74AF"/>
    <w:rsid w:val="201B5C14"/>
    <w:rsid w:val="2056595D"/>
    <w:rsid w:val="205D447F"/>
    <w:rsid w:val="206F41B2"/>
    <w:rsid w:val="208A0FEC"/>
    <w:rsid w:val="20943C19"/>
    <w:rsid w:val="20A420AE"/>
    <w:rsid w:val="20EF0E4F"/>
    <w:rsid w:val="2102469A"/>
    <w:rsid w:val="210466A8"/>
    <w:rsid w:val="21584C46"/>
    <w:rsid w:val="2186076B"/>
    <w:rsid w:val="21D40771"/>
    <w:rsid w:val="21E85FCA"/>
    <w:rsid w:val="21F9521A"/>
    <w:rsid w:val="221943D6"/>
    <w:rsid w:val="22623FCE"/>
    <w:rsid w:val="22821F7B"/>
    <w:rsid w:val="229760EF"/>
    <w:rsid w:val="22AD1A45"/>
    <w:rsid w:val="22B67E76"/>
    <w:rsid w:val="235A2EF8"/>
    <w:rsid w:val="237613B4"/>
    <w:rsid w:val="238241FC"/>
    <w:rsid w:val="23871813"/>
    <w:rsid w:val="23897339"/>
    <w:rsid w:val="239F4DAE"/>
    <w:rsid w:val="23A203FB"/>
    <w:rsid w:val="23CD5478"/>
    <w:rsid w:val="243674C1"/>
    <w:rsid w:val="245E2574"/>
    <w:rsid w:val="24612064"/>
    <w:rsid w:val="247B4A27"/>
    <w:rsid w:val="247D50F0"/>
    <w:rsid w:val="25021151"/>
    <w:rsid w:val="25227A45"/>
    <w:rsid w:val="252F3F10"/>
    <w:rsid w:val="25421E95"/>
    <w:rsid w:val="254554E2"/>
    <w:rsid w:val="25987D07"/>
    <w:rsid w:val="25A14E0E"/>
    <w:rsid w:val="25AB17E9"/>
    <w:rsid w:val="25B05051"/>
    <w:rsid w:val="25B763DF"/>
    <w:rsid w:val="25EB7E37"/>
    <w:rsid w:val="261E020C"/>
    <w:rsid w:val="26357304"/>
    <w:rsid w:val="263F63D5"/>
    <w:rsid w:val="26571970"/>
    <w:rsid w:val="265F25D3"/>
    <w:rsid w:val="26926505"/>
    <w:rsid w:val="26D905D7"/>
    <w:rsid w:val="26DD1E76"/>
    <w:rsid w:val="26E8081A"/>
    <w:rsid w:val="26F45AAF"/>
    <w:rsid w:val="270A40C3"/>
    <w:rsid w:val="27196C26"/>
    <w:rsid w:val="27291DCA"/>
    <w:rsid w:val="274A6DDF"/>
    <w:rsid w:val="27514612"/>
    <w:rsid w:val="278E4F1E"/>
    <w:rsid w:val="27A75FE0"/>
    <w:rsid w:val="27A94119"/>
    <w:rsid w:val="27B30E28"/>
    <w:rsid w:val="27E62FAC"/>
    <w:rsid w:val="2811164F"/>
    <w:rsid w:val="28131C63"/>
    <w:rsid w:val="281C3059"/>
    <w:rsid w:val="28237D5C"/>
    <w:rsid w:val="282B09BF"/>
    <w:rsid w:val="28691EED"/>
    <w:rsid w:val="287E1436"/>
    <w:rsid w:val="28814A83"/>
    <w:rsid w:val="28B60BD0"/>
    <w:rsid w:val="28B673DC"/>
    <w:rsid w:val="28D322B5"/>
    <w:rsid w:val="28DC615D"/>
    <w:rsid w:val="28F2772E"/>
    <w:rsid w:val="28F434A6"/>
    <w:rsid w:val="293B10D5"/>
    <w:rsid w:val="293D309F"/>
    <w:rsid w:val="294A756A"/>
    <w:rsid w:val="29564161"/>
    <w:rsid w:val="29954C89"/>
    <w:rsid w:val="299F5E32"/>
    <w:rsid w:val="29AF561F"/>
    <w:rsid w:val="29B175E9"/>
    <w:rsid w:val="29CE063C"/>
    <w:rsid w:val="29CE3CF8"/>
    <w:rsid w:val="29D42FF4"/>
    <w:rsid w:val="29D86924"/>
    <w:rsid w:val="29DD03DE"/>
    <w:rsid w:val="29E4176D"/>
    <w:rsid w:val="29EA0AB9"/>
    <w:rsid w:val="2A1F27A5"/>
    <w:rsid w:val="2A460026"/>
    <w:rsid w:val="2A5266D7"/>
    <w:rsid w:val="2A6B0377"/>
    <w:rsid w:val="2A7E3970"/>
    <w:rsid w:val="2AD76BDC"/>
    <w:rsid w:val="2AF07C9E"/>
    <w:rsid w:val="2AF7102C"/>
    <w:rsid w:val="2B0D2921"/>
    <w:rsid w:val="2B287437"/>
    <w:rsid w:val="2B7F799F"/>
    <w:rsid w:val="2B98280F"/>
    <w:rsid w:val="2B9B40AD"/>
    <w:rsid w:val="2BA72A52"/>
    <w:rsid w:val="2BC453B2"/>
    <w:rsid w:val="2BFF288E"/>
    <w:rsid w:val="2C251D36"/>
    <w:rsid w:val="2C3A1B18"/>
    <w:rsid w:val="2C7A1F15"/>
    <w:rsid w:val="2C9F197B"/>
    <w:rsid w:val="2D2500D2"/>
    <w:rsid w:val="2D88240F"/>
    <w:rsid w:val="2DD45655"/>
    <w:rsid w:val="2DE03FF9"/>
    <w:rsid w:val="2E0C4DEE"/>
    <w:rsid w:val="2E0E0B66"/>
    <w:rsid w:val="2E2C5491"/>
    <w:rsid w:val="2EA9088F"/>
    <w:rsid w:val="2EC85376"/>
    <w:rsid w:val="2EF02962"/>
    <w:rsid w:val="2EF35FAE"/>
    <w:rsid w:val="2F067A90"/>
    <w:rsid w:val="2F1F0B51"/>
    <w:rsid w:val="2F2F348A"/>
    <w:rsid w:val="2F511653"/>
    <w:rsid w:val="2F740E9D"/>
    <w:rsid w:val="2F7D2448"/>
    <w:rsid w:val="2FC42B59"/>
    <w:rsid w:val="2FC82F97"/>
    <w:rsid w:val="2FE667B9"/>
    <w:rsid w:val="2FEE50F3"/>
    <w:rsid w:val="302C5C1C"/>
    <w:rsid w:val="303156FB"/>
    <w:rsid w:val="303F76FD"/>
    <w:rsid w:val="309A162C"/>
    <w:rsid w:val="30E437BE"/>
    <w:rsid w:val="310F3573"/>
    <w:rsid w:val="311A1F18"/>
    <w:rsid w:val="312B5ED3"/>
    <w:rsid w:val="3159659D"/>
    <w:rsid w:val="317D4AEC"/>
    <w:rsid w:val="31A67308"/>
    <w:rsid w:val="31C0661C"/>
    <w:rsid w:val="31C52D59"/>
    <w:rsid w:val="32252923"/>
    <w:rsid w:val="32254091"/>
    <w:rsid w:val="32322C1A"/>
    <w:rsid w:val="3240775C"/>
    <w:rsid w:val="32476D3D"/>
    <w:rsid w:val="326351F9"/>
    <w:rsid w:val="32BA12BD"/>
    <w:rsid w:val="32BB5035"/>
    <w:rsid w:val="32D86AF0"/>
    <w:rsid w:val="32FA1831"/>
    <w:rsid w:val="331F3816"/>
    <w:rsid w:val="335D7E9A"/>
    <w:rsid w:val="339D48A3"/>
    <w:rsid w:val="33B273BE"/>
    <w:rsid w:val="33CE6130"/>
    <w:rsid w:val="33E52369"/>
    <w:rsid w:val="34313801"/>
    <w:rsid w:val="35072585"/>
    <w:rsid w:val="351D1FD7"/>
    <w:rsid w:val="35676349"/>
    <w:rsid w:val="3575596F"/>
    <w:rsid w:val="3589141A"/>
    <w:rsid w:val="35BF5BB0"/>
    <w:rsid w:val="35D703D8"/>
    <w:rsid w:val="35DE1766"/>
    <w:rsid w:val="35F76384"/>
    <w:rsid w:val="36002857"/>
    <w:rsid w:val="36211653"/>
    <w:rsid w:val="362A49AB"/>
    <w:rsid w:val="36624145"/>
    <w:rsid w:val="366D6646"/>
    <w:rsid w:val="3699743B"/>
    <w:rsid w:val="369B1405"/>
    <w:rsid w:val="36A302BA"/>
    <w:rsid w:val="36B14785"/>
    <w:rsid w:val="36E0506A"/>
    <w:rsid w:val="36FA13B3"/>
    <w:rsid w:val="37034BCF"/>
    <w:rsid w:val="37353608"/>
    <w:rsid w:val="374750E9"/>
    <w:rsid w:val="375810A4"/>
    <w:rsid w:val="37661A13"/>
    <w:rsid w:val="377C4D93"/>
    <w:rsid w:val="379730BB"/>
    <w:rsid w:val="37AB1B1C"/>
    <w:rsid w:val="37B248FD"/>
    <w:rsid w:val="37FA0CE4"/>
    <w:rsid w:val="383C3C54"/>
    <w:rsid w:val="38723A9A"/>
    <w:rsid w:val="388E7A62"/>
    <w:rsid w:val="38910D12"/>
    <w:rsid w:val="38AE3672"/>
    <w:rsid w:val="38BB7B3D"/>
    <w:rsid w:val="38DB1F8D"/>
    <w:rsid w:val="38E452E6"/>
    <w:rsid w:val="38E54D64"/>
    <w:rsid w:val="39073753"/>
    <w:rsid w:val="39846181"/>
    <w:rsid w:val="39C11183"/>
    <w:rsid w:val="39C26CA9"/>
    <w:rsid w:val="39C66799"/>
    <w:rsid w:val="39D609B4"/>
    <w:rsid w:val="3A173499"/>
    <w:rsid w:val="3A192D6D"/>
    <w:rsid w:val="3A26548A"/>
    <w:rsid w:val="3A5D453C"/>
    <w:rsid w:val="3A7D77A0"/>
    <w:rsid w:val="3A830B2E"/>
    <w:rsid w:val="3B201ED9"/>
    <w:rsid w:val="3B387B06"/>
    <w:rsid w:val="3B392F9B"/>
    <w:rsid w:val="3B44206B"/>
    <w:rsid w:val="3B536111"/>
    <w:rsid w:val="3B60677A"/>
    <w:rsid w:val="3B697D24"/>
    <w:rsid w:val="3BB645EB"/>
    <w:rsid w:val="3BE405A6"/>
    <w:rsid w:val="3C215F09"/>
    <w:rsid w:val="3C300842"/>
    <w:rsid w:val="3C3519B4"/>
    <w:rsid w:val="3C7222E5"/>
    <w:rsid w:val="3C912342"/>
    <w:rsid w:val="3C9E57AB"/>
    <w:rsid w:val="3CA82872"/>
    <w:rsid w:val="3CB80475"/>
    <w:rsid w:val="3CB94393"/>
    <w:rsid w:val="3CCA65A0"/>
    <w:rsid w:val="3CD25455"/>
    <w:rsid w:val="3CDB07AE"/>
    <w:rsid w:val="3D0715A3"/>
    <w:rsid w:val="3D580050"/>
    <w:rsid w:val="3D66188F"/>
    <w:rsid w:val="3D8D0EE9"/>
    <w:rsid w:val="3DED58DB"/>
    <w:rsid w:val="3DEE2762"/>
    <w:rsid w:val="3DF80EEB"/>
    <w:rsid w:val="3DFA1107"/>
    <w:rsid w:val="3E2713E2"/>
    <w:rsid w:val="3E346ECF"/>
    <w:rsid w:val="3E3A7756"/>
    <w:rsid w:val="3E614CE2"/>
    <w:rsid w:val="3E725142"/>
    <w:rsid w:val="3E9C5D1B"/>
    <w:rsid w:val="3EDC59E4"/>
    <w:rsid w:val="3EE85404"/>
    <w:rsid w:val="3F182ACE"/>
    <w:rsid w:val="3F3236E6"/>
    <w:rsid w:val="3F373C95"/>
    <w:rsid w:val="3F40206E"/>
    <w:rsid w:val="3F5D7BA0"/>
    <w:rsid w:val="3F7647BE"/>
    <w:rsid w:val="3F80563C"/>
    <w:rsid w:val="3F8C2233"/>
    <w:rsid w:val="3FA4757D"/>
    <w:rsid w:val="3FAE03FB"/>
    <w:rsid w:val="3FBB0422"/>
    <w:rsid w:val="3FF43934"/>
    <w:rsid w:val="402D7572"/>
    <w:rsid w:val="405D597D"/>
    <w:rsid w:val="407F3B46"/>
    <w:rsid w:val="40867D28"/>
    <w:rsid w:val="40AF442B"/>
    <w:rsid w:val="40E51BFB"/>
    <w:rsid w:val="40E85247"/>
    <w:rsid w:val="412B2BA1"/>
    <w:rsid w:val="416A0352"/>
    <w:rsid w:val="41AF045B"/>
    <w:rsid w:val="420626EA"/>
    <w:rsid w:val="4218203C"/>
    <w:rsid w:val="423B3A9C"/>
    <w:rsid w:val="42641245"/>
    <w:rsid w:val="427362E4"/>
    <w:rsid w:val="42975177"/>
    <w:rsid w:val="434150E2"/>
    <w:rsid w:val="43430E5B"/>
    <w:rsid w:val="436112E1"/>
    <w:rsid w:val="43655275"/>
    <w:rsid w:val="436A288B"/>
    <w:rsid w:val="437377FC"/>
    <w:rsid w:val="43CD6976"/>
    <w:rsid w:val="43E91A02"/>
    <w:rsid w:val="43F16B09"/>
    <w:rsid w:val="43FD54AD"/>
    <w:rsid w:val="445A645C"/>
    <w:rsid w:val="446B0669"/>
    <w:rsid w:val="44D53D34"/>
    <w:rsid w:val="44D939C1"/>
    <w:rsid w:val="44E67CEF"/>
    <w:rsid w:val="45324652"/>
    <w:rsid w:val="45594965"/>
    <w:rsid w:val="45611A6C"/>
    <w:rsid w:val="456357E4"/>
    <w:rsid w:val="456A299C"/>
    <w:rsid w:val="45A51959"/>
    <w:rsid w:val="45C30031"/>
    <w:rsid w:val="45C476F1"/>
    <w:rsid w:val="46333408"/>
    <w:rsid w:val="46364CA7"/>
    <w:rsid w:val="46794B93"/>
    <w:rsid w:val="46C34090"/>
    <w:rsid w:val="47013507"/>
    <w:rsid w:val="472471F5"/>
    <w:rsid w:val="47280A93"/>
    <w:rsid w:val="472A1DE0"/>
    <w:rsid w:val="476A10AC"/>
    <w:rsid w:val="478D08F6"/>
    <w:rsid w:val="47AD2D46"/>
    <w:rsid w:val="47B9793D"/>
    <w:rsid w:val="47D227AD"/>
    <w:rsid w:val="47E744AA"/>
    <w:rsid w:val="48050DD4"/>
    <w:rsid w:val="48082673"/>
    <w:rsid w:val="480A4E65"/>
    <w:rsid w:val="480F3A01"/>
    <w:rsid w:val="481132D5"/>
    <w:rsid w:val="481B23A6"/>
    <w:rsid w:val="483D231C"/>
    <w:rsid w:val="48474DA0"/>
    <w:rsid w:val="48474F49"/>
    <w:rsid w:val="4856518C"/>
    <w:rsid w:val="48741AB6"/>
    <w:rsid w:val="48867F4E"/>
    <w:rsid w:val="489B34E7"/>
    <w:rsid w:val="48B819A3"/>
    <w:rsid w:val="48C447EC"/>
    <w:rsid w:val="48C90054"/>
    <w:rsid w:val="48DA5DBD"/>
    <w:rsid w:val="48E46C3C"/>
    <w:rsid w:val="491A08B0"/>
    <w:rsid w:val="49211C3E"/>
    <w:rsid w:val="49221512"/>
    <w:rsid w:val="494D62C3"/>
    <w:rsid w:val="498D72D3"/>
    <w:rsid w:val="49A168DB"/>
    <w:rsid w:val="49C77553"/>
    <w:rsid w:val="49F509D5"/>
    <w:rsid w:val="49FC20A6"/>
    <w:rsid w:val="4A38723F"/>
    <w:rsid w:val="4A58343D"/>
    <w:rsid w:val="4A5E657A"/>
    <w:rsid w:val="4A6D58E4"/>
    <w:rsid w:val="4A9C6866"/>
    <w:rsid w:val="4AAE5753"/>
    <w:rsid w:val="4B0D06CC"/>
    <w:rsid w:val="4B0E7FA0"/>
    <w:rsid w:val="4B180E1F"/>
    <w:rsid w:val="4B294DDA"/>
    <w:rsid w:val="4B685902"/>
    <w:rsid w:val="4B756271"/>
    <w:rsid w:val="4B86222C"/>
    <w:rsid w:val="4BC34C93"/>
    <w:rsid w:val="4BC92119"/>
    <w:rsid w:val="4BCB5E91"/>
    <w:rsid w:val="4BDA60D4"/>
    <w:rsid w:val="4BDB2702"/>
    <w:rsid w:val="4BF52F0E"/>
    <w:rsid w:val="4BFB49C8"/>
    <w:rsid w:val="4C194E4E"/>
    <w:rsid w:val="4C4C525E"/>
    <w:rsid w:val="4C520360"/>
    <w:rsid w:val="4C7402D7"/>
    <w:rsid w:val="4CDA2830"/>
    <w:rsid w:val="4CEE0CE9"/>
    <w:rsid w:val="4D0A29E9"/>
    <w:rsid w:val="4D1F46E6"/>
    <w:rsid w:val="4D704F42"/>
    <w:rsid w:val="4D7B7443"/>
    <w:rsid w:val="4D8E3A15"/>
    <w:rsid w:val="4DA1334D"/>
    <w:rsid w:val="4DAB1AD6"/>
    <w:rsid w:val="4DE60D60"/>
    <w:rsid w:val="4DEB5EF3"/>
    <w:rsid w:val="4E200716"/>
    <w:rsid w:val="4E755A1A"/>
    <w:rsid w:val="4E8011B5"/>
    <w:rsid w:val="4E946A0E"/>
    <w:rsid w:val="4E9B1B4B"/>
    <w:rsid w:val="4F691C49"/>
    <w:rsid w:val="4F8C340B"/>
    <w:rsid w:val="4F8E345D"/>
    <w:rsid w:val="4F9D5D96"/>
    <w:rsid w:val="4FCE0360"/>
    <w:rsid w:val="4FDB09DB"/>
    <w:rsid w:val="5006393C"/>
    <w:rsid w:val="50334005"/>
    <w:rsid w:val="50852AB2"/>
    <w:rsid w:val="508D49F6"/>
    <w:rsid w:val="50AF5D81"/>
    <w:rsid w:val="50DE0415"/>
    <w:rsid w:val="513E6264"/>
    <w:rsid w:val="517174DB"/>
    <w:rsid w:val="51DA6E2E"/>
    <w:rsid w:val="51E7154B"/>
    <w:rsid w:val="51F43C13"/>
    <w:rsid w:val="5217598C"/>
    <w:rsid w:val="52287B99"/>
    <w:rsid w:val="52344790"/>
    <w:rsid w:val="52831274"/>
    <w:rsid w:val="52A42F98"/>
    <w:rsid w:val="52C378C2"/>
    <w:rsid w:val="5311062D"/>
    <w:rsid w:val="53487DC7"/>
    <w:rsid w:val="534A7FE3"/>
    <w:rsid w:val="534F13AA"/>
    <w:rsid w:val="535D1AC5"/>
    <w:rsid w:val="53682217"/>
    <w:rsid w:val="53963229"/>
    <w:rsid w:val="53C75DFB"/>
    <w:rsid w:val="53E36582"/>
    <w:rsid w:val="53E421E6"/>
    <w:rsid w:val="53EE096F"/>
    <w:rsid w:val="544B4013"/>
    <w:rsid w:val="545D05C5"/>
    <w:rsid w:val="546F4687"/>
    <w:rsid w:val="54AC57E6"/>
    <w:rsid w:val="54BC0A6D"/>
    <w:rsid w:val="54D933CD"/>
    <w:rsid w:val="54E25EDF"/>
    <w:rsid w:val="553B6208"/>
    <w:rsid w:val="55651104"/>
    <w:rsid w:val="556F3D31"/>
    <w:rsid w:val="55711857"/>
    <w:rsid w:val="55833339"/>
    <w:rsid w:val="558A4102"/>
    <w:rsid w:val="55AF412E"/>
    <w:rsid w:val="55B55BE8"/>
    <w:rsid w:val="55FF0534"/>
    <w:rsid w:val="5607565F"/>
    <w:rsid w:val="5647080A"/>
    <w:rsid w:val="565371AF"/>
    <w:rsid w:val="565A0899"/>
    <w:rsid w:val="567D5FDA"/>
    <w:rsid w:val="56847368"/>
    <w:rsid w:val="56A31EE4"/>
    <w:rsid w:val="56B83B9F"/>
    <w:rsid w:val="56E322E1"/>
    <w:rsid w:val="56EB388B"/>
    <w:rsid w:val="579932E7"/>
    <w:rsid w:val="579E26AC"/>
    <w:rsid w:val="57F4051E"/>
    <w:rsid w:val="584C2108"/>
    <w:rsid w:val="589A2E73"/>
    <w:rsid w:val="58B424BA"/>
    <w:rsid w:val="58D714D9"/>
    <w:rsid w:val="58F509F1"/>
    <w:rsid w:val="59360232"/>
    <w:rsid w:val="5976568E"/>
    <w:rsid w:val="59A85A64"/>
    <w:rsid w:val="59CC10D9"/>
    <w:rsid w:val="59D95C1D"/>
    <w:rsid w:val="59F760A3"/>
    <w:rsid w:val="5A027D02"/>
    <w:rsid w:val="5A1629CD"/>
    <w:rsid w:val="5A1B452B"/>
    <w:rsid w:val="5A5F25C6"/>
    <w:rsid w:val="5A6776CD"/>
    <w:rsid w:val="5A706581"/>
    <w:rsid w:val="5AA47FD9"/>
    <w:rsid w:val="5AB539CD"/>
    <w:rsid w:val="5AC17227"/>
    <w:rsid w:val="5ACE32A8"/>
    <w:rsid w:val="5AE6791A"/>
    <w:rsid w:val="5B084A0C"/>
    <w:rsid w:val="5B0E18F6"/>
    <w:rsid w:val="5B1433B1"/>
    <w:rsid w:val="5B182775"/>
    <w:rsid w:val="5B90055D"/>
    <w:rsid w:val="5B9938B6"/>
    <w:rsid w:val="5BBD4260"/>
    <w:rsid w:val="5BDC19F5"/>
    <w:rsid w:val="5C190553"/>
    <w:rsid w:val="5C1B076F"/>
    <w:rsid w:val="5C8E0F41"/>
    <w:rsid w:val="5CC826A5"/>
    <w:rsid w:val="5D0030C0"/>
    <w:rsid w:val="5D283143"/>
    <w:rsid w:val="5D4C04E5"/>
    <w:rsid w:val="5D616655"/>
    <w:rsid w:val="5D665636"/>
    <w:rsid w:val="5D7C6FEB"/>
    <w:rsid w:val="5DF254FF"/>
    <w:rsid w:val="5E39312E"/>
    <w:rsid w:val="5E4F64AE"/>
    <w:rsid w:val="5E6F4DA2"/>
    <w:rsid w:val="5E93283E"/>
    <w:rsid w:val="5ED2780B"/>
    <w:rsid w:val="5EF64B7B"/>
    <w:rsid w:val="5F015830"/>
    <w:rsid w:val="5F015B06"/>
    <w:rsid w:val="5F0C4553"/>
    <w:rsid w:val="5F100333"/>
    <w:rsid w:val="5F5F32BA"/>
    <w:rsid w:val="5F7E529D"/>
    <w:rsid w:val="5F942D12"/>
    <w:rsid w:val="5F9745B0"/>
    <w:rsid w:val="5FDA624B"/>
    <w:rsid w:val="5FDC6467"/>
    <w:rsid w:val="60255718"/>
    <w:rsid w:val="6043598B"/>
    <w:rsid w:val="60751DCE"/>
    <w:rsid w:val="60770DA0"/>
    <w:rsid w:val="609868E2"/>
    <w:rsid w:val="60A2791B"/>
    <w:rsid w:val="60B82A30"/>
    <w:rsid w:val="61151C31"/>
    <w:rsid w:val="61377DF9"/>
    <w:rsid w:val="61774699"/>
    <w:rsid w:val="618610F5"/>
    <w:rsid w:val="61AB3878"/>
    <w:rsid w:val="61B2747F"/>
    <w:rsid w:val="61D92C5E"/>
    <w:rsid w:val="621517BC"/>
    <w:rsid w:val="621974FF"/>
    <w:rsid w:val="621C2B4B"/>
    <w:rsid w:val="626D33A6"/>
    <w:rsid w:val="62BB05B6"/>
    <w:rsid w:val="62C531E2"/>
    <w:rsid w:val="62CC27C3"/>
    <w:rsid w:val="63155F18"/>
    <w:rsid w:val="631E5B99"/>
    <w:rsid w:val="63343EC4"/>
    <w:rsid w:val="63506F50"/>
    <w:rsid w:val="6391074D"/>
    <w:rsid w:val="639A466F"/>
    <w:rsid w:val="63C35974"/>
    <w:rsid w:val="63D062E3"/>
    <w:rsid w:val="63D47B81"/>
    <w:rsid w:val="63E8387C"/>
    <w:rsid w:val="6410396A"/>
    <w:rsid w:val="64505BE2"/>
    <w:rsid w:val="64533CB0"/>
    <w:rsid w:val="64BA34FF"/>
    <w:rsid w:val="64D140C0"/>
    <w:rsid w:val="65075D34"/>
    <w:rsid w:val="653603C7"/>
    <w:rsid w:val="65BA48E2"/>
    <w:rsid w:val="65D5373C"/>
    <w:rsid w:val="65E9368C"/>
    <w:rsid w:val="65EB7404"/>
    <w:rsid w:val="66505CAF"/>
    <w:rsid w:val="666D1BC7"/>
    <w:rsid w:val="667E3DD4"/>
    <w:rsid w:val="66A355E9"/>
    <w:rsid w:val="66AB0941"/>
    <w:rsid w:val="66AD6206"/>
    <w:rsid w:val="66CD4D5B"/>
    <w:rsid w:val="66D41C46"/>
    <w:rsid w:val="66E43679"/>
    <w:rsid w:val="66E75E1D"/>
    <w:rsid w:val="671958AB"/>
    <w:rsid w:val="674072DB"/>
    <w:rsid w:val="674566A0"/>
    <w:rsid w:val="6760797E"/>
    <w:rsid w:val="6773145F"/>
    <w:rsid w:val="67A377FF"/>
    <w:rsid w:val="67C63C85"/>
    <w:rsid w:val="67C779FD"/>
    <w:rsid w:val="67D414EA"/>
    <w:rsid w:val="67F0485E"/>
    <w:rsid w:val="68232E85"/>
    <w:rsid w:val="68617509"/>
    <w:rsid w:val="686D5EAE"/>
    <w:rsid w:val="688D6550"/>
    <w:rsid w:val="689D2118"/>
    <w:rsid w:val="69232A11"/>
    <w:rsid w:val="692E7D33"/>
    <w:rsid w:val="69362744"/>
    <w:rsid w:val="69470DF5"/>
    <w:rsid w:val="69531548"/>
    <w:rsid w:val="695C5990"/>
    <w:rsid w:val="696D3D7B"/>
    <w:rsid w:val="69713F05"/>
    <w:rsid w:val="69855479"/>
    <w:rsid w:val="69860701"/>
    <w:rsid w:val="69A00505"/>
    <w:rsid w:val="69A262CD"/>
    <w:rsid w:val="69C441F4"/>
    <w:rsid w:val="69DF4B8A"/>
    <w:rsid w:val="6A097E59"/>
    <w:rsid w:val="6A0D5B9B"/>
    <w:rsid w:val="6A184540"/>
    <w:rsid w:val="6A2922A9"/>
    <w:rsid w:val="6A575068"/>
    <w:rsid w:val="6A5A6906"/>
    <w:rsid w:val="6A7774B8"/>
    <w:rsid w:val="6ABF49BB"/>
    <w:rsid w:val="6ACB7804"/>
    <w:rsid w:val="6B07518C"/>
    <w:rsid w:val="6B1E7934"/>
    <w:rsid w:val="6B574042"/>
    <w:rsid w:val="6B9145AA"/>
    <w:rsid w:val="6BF95CAB"/>
    <w:rsid w:val="6C060AF4"/>
    <w:rsid w:val="6C294CFE"/>
    <w:rsid w:val="6C445178"/>
    <w:rsid w:val="6C4C227F"/>
    <w:rsid w:val="6C4D6722"/>
    <w:rsid w:val="6C4E5FF7"/>
    <w:rsid w:val="6C6D2921"/>
    <w:rsid w:val="6CDE55CC"/>
    <w:rsid w:val="6CE30E35"/>
    <w:rsid w:val="6D013069"/>
    <w:rsid w:val="6D2B6338"/>
    <w:rsid w:val="6D543AE1"/>
    <w:rsid w:val="6D8E0C2E"/>
    <w:rsid w:val="6DB63E53"/>
    <w:rsid w:val="6DC748C4"/>
    <w:rsid w:val="6DCA1A0F"/>
    <w:rsid w:val="6DD662A4"/>
    <w:rsid w:val="6DDE70D3"/>
    <w:rsid w:val="6DFE57FA"/>
    <w:rsid w:val="6E301E58"/>
    <w:rsid w:val="6E62667D"/>
    <w:rsid w:val="6E9C4C04"/>
    <w:rsid w:val="6EA341EF"/>
    <w:rsid w:val="6EC801EA"/>
    <w:rsid w:val="6EDA0016"/>
    <w:rsid w:val="6EFE63D3"/>
    <w:rsid w:val="6F5C0A2B"/>
    <w:rsid w:val="6F5F7596"/>
    <w:rsid w:val="6F66103E"/>
    <w:rsid w:val="6FC7528D"/>
    <w:rsid w:val="6FD922F4"/>
    <w:rsid w:val="6FDE58E3"/>
    <w:rsid w:val="704E2E77"/>
    <w:rsid w:val="70531E2E"/>
    <w:rsid w:val="70B700AB"/>
    <w:rsid w:val="70E62CA2"/>
    <w:rsid w:val="70E707C8"/>
    <w:rsid w:val="70E909E4"/>
    <w:rsid w:val="70F42CAF"/>
    <w:rsid w:val="71066EA0"/>
    <w:rsid w:val="71722787"/>
    <w:rsid w:val="717464F9"/>
    <w:rsid w:val="71A84BCB"/>
    <w:rsid w:val="71BE777B"/>
    <w:rsid w:val="71C550C4"/>
    <w:rsid w:val="71CA611F"/>
    <w:rsid w:val="71D451F0"/>
    <w:rsid w:val="72001B41"/>
    <w:rsid w:val="725809D3"/>
    <w:rsid w:val="72581DD4"/>
    <w:rsid w:val="729F135A"/>
    <w:rsid w:val="72E476B5"/>
    <w:rsid w:val="73223D39"/>
    <w:rsid w:val="73880040"/>
    <w:rsid w:val="73A11102"/>
    <w:rsid w:val="73A330CC"/>
    <w:rsid w:val="73B057E9"/>
    <w:rsid w:val="73E7745D"/>
    <w:rsid w:val="741063B8"/>
    <w:rsid w:val="74257F85"/>
    <w:rsid w:val="743401C8"/>
    <w:rsid w:val="74510D7A"/>
    <w:rsid w:val="74A25132"/>
    <w:rsid w:val="74BE7A92"/>
    <w:rsid w:val="74CF0F7E"/>
    <w:rsid w:val="74DA48CB"/>
    <w:rsid w:val="75581C94"/>
    <w:rsid w:val="75662603"/>
    <w:rsid w:val="757B2D26"/>
    <w:rsid w:val="75B21560"/>
    <w:rsid w:val="75D674E0"/>
    <w:rsid w:val="75F419BD"/>
    <w:rsid w:val="76120095"/>
    <w:rsid w:val="76176F85"/>
    <w:rsid w:val="765E777E"/>
    <w:rsid w:val="76AB0804"/>
    <w:rsid w:val="76CA4E14"/>
    <w:rsid w:val="76ED5DD7"/>
    <w:rsid w:val="76F0487A"/>
    <w:rsid w:val="771B11CB"/>
    <w:rsid w:val="77336515"/>
    <w:rsid w:val="776112D4"/>
    <w:rsid w:val="777059BB"/>
    <w:rsid w:val="777728A5"/>
    <w:rsid w:val="77883B1D"/>
    <w:rsid w:val="77991C4E"/>
    <w:rsid w:val="77B43AFA"/>
    <w:rsid w:val="77B84C6C"/>
    <w:rsid w:val="77C6108F"/>
    <w:rsid w:val="77CB499F"/>
    <w:rsid w:val="77FA5285"/>
    <w:rsid w:val="78191BAF"/>
    <w:rsid w:val="781B5D3C"/>
    <w:rsid w:val="783C764B"/>
    <w:rsid w:val="784120E7"/>
    <w:rsid w:val="78566BBF"/>
    <w:rsid w:val="787768D5"/>
    <w:rsid w:val="78872FBC"/>
    <w:rsid w:val="789B6166"/>
    <w:rsid w:val="78B412CD"/>
    <w:rsid w:val="78DD2BDC"/>
    <w:rsid w:val="78F65A4C"/>
    <w:rsid w:val="79075EAB"/>
    <w:rsid w:val="79164340"/>
    <w:rsid w:val="799C1319"/>
    <w:rsid w:val="7A020420"/>
    <w:rsid w:val="7A1563A6"/>
    <w:rsid w:val="7A2860D9"/>
    <w:rsid w:val="7A7A445B"/>
    <w:rsid w:val="7A886B78"/>
    <w:rsid w:val="7A8F6158"/>
    <w:rsid w:val="7A9C5C09"/>
    <w:rsid w:val="7B5353D8"/>
    <w:rsid w:val="7B62386D"/>
    <w:rsid w:val="7B784E3E"/>
    <w:rsid w:val="7B7D328F"/>
    <w:rsid w:val="7BD217F3"/>
    <w:rsid w:val="7BE67FFA"/>
    <w:rsid w:val="7BEB1AB4"/>
    <w:rsid w:val="7C280612"/>
    <w:rsid w:val="7C3F3BAE"/>
    <w:rsid w:val="7C8B294F"/>
    <w:rsid w:val="7C9B7036"/>
    <w:rsid w:val="7CA543A9"/>
    <w:rsid w:val="7CB5297B"/>
    <w:rsid w:val="7CC83BA3"/>
    <w:rsid w:val="7CEA7F18"/>
    <w:rsid w:val="7D124E1E"/>
    <w:rsid w:val="7D6C428D"/>
    <w:rsid w:val="7DFA5FDE"/>
    <w:rsid w:val="7E2D0162"/>
    <w:rsid w:val="7E4F632A"/>
    <w:rsid w:val="7EC30AC6"/>
    <w:rsid w:val="7ECB797B"/>
    <w:rsid w:val="7ED06D3F"/>
    <w:rsid w:val="7EDE76AE"/>
    <w:rsid w:val="7EE525EA"/>
    <w:rsid w:val="7F121106"/>
    <w:rsid w:val="7F625BE9"/>
    <w:rsid w:val="7F645E05"/>
    <w:rsid w:val="7FD40030"/>
    <w:rsid w:val="7FD83CB6"/>
    <w:rsid w:val="7FEF558A"/>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qFormat="1"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7"/>
    <w:autoRedefine/>
    <w:unhideWhenUsed/>
    <w:qFormat/>
    <w:uiPriority w:val="0"/>
    <w:pPr>
      <w:adjustRightInd/>
      <w:spacing w:line="240" w:lineRule="auto"/>
      <w:jc w:val="left"/>
    </w:pPr>
    <w:rPr>
      <w:rFonts w:ascii="Times New Roman" w:hAnsi="Times New Roman"/>
      <w:szCs w:val="24"/>
    </w:rPr>
  </w:style>
  <w:style w:type="paragraph" w:styleId="14">
    <w:name w:val="Body Text"/>
    <w:basedOn w:val="1"/>
    <w:link w:val="91"/>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50"/>
    <w:autoRedefine/>
    <w:semiHidden/>
    <w:unhideWhenUsed/>
    <w:qFormat/>
    <w:uiPriority w:val="99"/>
    <w:rPr>
      <w:sz w:val="18"/>
      <w:szCs w:val="18"/>
    </w:rPr>
  </w:style>
  <w:style w:type="paragraph" w:styleId="18">
    <w:name w:val="footer"/>
    <w:basedOn w:val="1"/>
    <w:link w:val="49"/>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8"/>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4"/>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53"/>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42"/>
    <w:semiHidden/>
    <w:unhideWhenUsed/>
    <w:qFormat/>
    <w:uiPriority w:val="99"/>
    <w:pPr>
      <w:adjustRightInd w:val="0"/>
      <w:spacing w:line="400" w:lineRule="exact"/>
    </w:pPr>
    <w:rPr>
      <w:rFonts w:ascii="Calibri" w:hAnsi="Calibri"/>
      <w:b/>
      <w:bCs/>
      <w:szCs w:val="21"/>
    </w:rPr>
  </w:style>
  <w:style w:type="table" w:styleId="29">
    <w:name w:val="Table Grid"/>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0">
    <w:name w:val="Table Theme"/>
    <w:basedOn w:val="28"/>
    <w:qFormat/>
    <w:uiPriority w:val="0"/>
    <w:pPr>
      <w:kinsoku w:val="0"/>
      <w:autoSpaceDE w:val="0"/>
      <w:autoSpaceDN w:val="0"/>
      <w:adjustRightInd w:val="0"/>
      <w:snapToGri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unhideWhenUsed/>
    <w:qFormat/>
    <w:uiPriority w:val="0"/>
    <w:rPr>
      <w:sz w:val="21"/>
      <w:szCs w:val="21"/>
    </w:rPr>
  </w:style>
  <w:style w:type="character" w:styleId="37">
    <w:name w:val="HTML Cite"/>
    <w:qFormat/>
    <w:uiPriority w:val="99"/>
    <w:rPr>
      <w:rFonts w:cs="Times New Roman"/>
      <w:i/>
    </w:rPr>
  </w:style>
  <w:style w:type="character" w:styleId="38">
    <w:name w:val="footnote reference"/>
    <w:autoRedefine/>
    <w:semiHidden/>
    <w:qFormat/>
    <w:uiPriority w:val="0"/>
    <w:rPr>
      <w:rFonts w:ascii="宋体" w:hAnsi="宋体" w:eastAsia="宋体" w:cs="Times New Roman"/>
      <w:spacing w:val="0"/>
      <w:sz w:val="18"/>
      <w:vertAlign w:val="superscript"/>
    </w:rPr>
  </w:style>
  <w:style w:type="character" w:customStyle="1" w:styleId="39">
    <w:name w:val="标题 1 字符"/>
    <w:link w:val="2"/>
    <w:qFormat/>
    <w:uiPriority w:val="0"/>
    <w:rPr>
      <w:rFonts w:ascii="Times New Roman" w:hAnsi="Times New Roman" w:eastAsia="宋体" w:cs="Times New Roman"/>
      <w:b/>
      <w:bCs/>
      <w:kern w:val="44"/>
      <w:sz w:val="44"/>
      <w:szCs w:val="44"/>
    </w:rPr>
  </w:style>
  <w:style w:type="character" w:customStyle="1" w:styleId="40">
    <w:name w:val="标题 2 字符"/>
    <w:link w:val="3"/>
    <w:qFormat/>
    <w:uiPriority w:val="0"/>
    <w:rPr>
      <w:rFonts w:ascii="Arial" w:hAnsi="Arial" w:eastAsia="黑体" w:cs="Times New Roman"/>
      <w:b/>
      <w:bCs/>
      <w:sz w:val="32"/>
      <w:szCs w:val="32"/>
    </w:rPr>
  </w:style>
  <w:style w:type="character" w:customStyle="1" w:styleId="41">
    <w:name w:val="标题 3 字符"/>
    <w:link w:val="4"/>
    <w:autoRedefine/>
    <w:qFormat/>
    <w:uiPriority w:val="0"/>
    <w:rPr>
      <w:rFonts w:ascii="Times New Roman" w:hAnsi="Times New Roman" w:eastAsia="宋体" w:cs="Times New Roman"/>
      <w:b/>
      <w:bCs/>
      <w:sz w:val="32"/>
      <w:szCs w:val="32"/>
    </w:rPr>
  </w:style>
  <w:style w:type="character" w:customStyle="1" w:styleId="42">
    <w:name w:val="标题 4 字符"/>
    <w:link w:val="5"/>
    <w:qFormat/>
    <w:uiPriority w:val="0"/>
    <w:rPr>
      <w:rFonts w:ascii="Arial" w:hAnsi="Arial" w:eastAsia="黑体" w:cs="Times New Roman"/>
      <w:b/>
      <w:bCs/>
      <w:sz w:val="28"/>
      <w:szCs w:val="28"/>
    </w:rPr>
  </w:style>
  <w:style w:type="character" w:customStyle="1" w:styleId="43">
    <w:name w:val="标题 5 字符"/>
    <w:link w:val="6"/>
    <w:qFormat/>
    <w:uiPriority w:val="0"/>
    <w:rPr>
      <w:rFonts w:ascii="Times New Roman" w:hAnsi="Times New Roman" w:eastAsia="宋体" w:cs="Times New Roman"/>
      <w:b/>
      <w:bCs/>
      <w:sz w:val="28"/>
      <w:szCs w:val="28"/>
    </w:rPr>
  </w:style>
  <w:style w:type="character" w:customStyle="1" w:styleId="44">
    <w:name w:val="标题 6 字符"/>
    <w:link w:val="7"/>
    <w:autoRedefine/>
    <w:qFormat/>
    <w:uiPriority w:val="0"/>
    <w:rPr>
      <w:rFonts w:ascii="Arial" w:hAnsi="Arial" w:eastAsia="黑体" w:cs="Times New Roman"/>
      <w:b/>
      <w:bCs/>
      <w:sz w:val="24"/>
      <w:szCs w:val="24"/>
    </w:rPr>
  </w:style>
  <w:style w:type="character" w:customStyle="1" w:styleId="45">
    <w:name w:val="标题 7 字符"/>
    <w:link w:val="8"/>
    <w:qFormat/>
    <w:uiPriority w:val="0"/>
    <w:rPr>
      <w:rFonts w:ascii="Times New Roman" w:hAnsi="Times New Roman" w:eastAsia="宋体" w:cs="Times New Roman"/>
      <w:b/>
      <w:bCs/>
      <w:sz w:val="24"/>
      <w:szCs w:val="24"/>
    </w:rPr>
  </w:style>
  <w:style w:type="character" w:customStyle="1" w:styleId="46">
    <w:name w:val="标题 8 字符"/>
    <w:link w:val="9"/>
    <w:qFormat/>
    <w:uiPriority w:val="0"/>
    <w:rPr>
      <w:rFonts w:ascii="Arial" w:hAnsi="Arial" w:eastAsia="黑体" w:cs="Times New Roman"/>
      <w:sz w:val="24"/>
      <w:szCs w:val="24"/>
    </w:rPr>
  </w:style>
  <w:style w:type="character" w:customStyle="1" w:styleId="47">
    <w:name w:val="标题 9 字符"/>
    <w:link w:val="10"/>
    <w:autoRedefine/>
    <w:qFormat/>
    <w:uiPriority w:val="0"/>
    <w:rPr>
      <w:rFonts w:ascii="Arial" w:hAnsi="Arial" w:eastAsia="黑体" w:cs="Times New Roman"/>
      <w:szCs w:val="21"/>
    </w:rPr>
  </w:style>
  <w:style w:type="character" w:customStyle="1" w:styleId="48">
    <w:name w:val="页眉 字符"/>
    <w:link w:val="19"/>
    <w:qFormat/>
    <w:uiPriority w:val="99"/>
    <w:rPr>
      <w:rFonts w:ascii="Times New Roman" w:hAnsi="Times New Roman" w:eastAsia="宋体" w:cs="Times New Roman"/>
      <w:sz w:val="18"/>
      <w:szCs w:val="18"/>
    </w:rPr>
  </w:style>
  <w:style w:type="character" w:customStyle="1" w:styleId="49">
    <w:name w:val="页脚 字符"/>
    <w:link w:val="18"/>
    <w:qFormat/>
    <w:uiPriority w:val="99"/>
    <w:rPr>
      <w:rFonts w:ascii="宋体" w:hAnsi="Times New Roman" w:eastAsia="宋体" w:cs="Times New Roman"/>
      <w:sz w:val="18"/>
      <w:szCs w:val="18"/>
    </w:rPr>
  </w:style>
  <w:style w:type="character" w:customStyle="1" w:styleId="50">
    <w:name w:val="批注框文本 字符"/>
    <w:link w:val="17"/>
    <w:autoRedefine/>
    <w:semiHidden/>
    <w:qFormat/>
    <w:uiPriority w:val="99"/>
    <w:rPr>
      <w:sz w:val="18"/>
      <w:szCs w:val="18"/>
    </w:rPr>
  </w:style>
  <w:style w:type="paragraph" w:styleId="51">
    <w:name w:val="Quote"/>
    <w:basedOn w:val="1"/>
    <w:next w:val="1"/>
    <w:link w:val="52"/>
    <w:qFormat/>
    <w:uiPriority w:val="29"/>
    <w:rPr>
      <w:i/>
      <w:iCs/>
      <w:color w:val="000000"/>
    </w:rPr>
  </w:style>
  <w:style w:type="character" w:customStyle="1" w:styleId="52">
    <w:name w:val="引用 字符"/>
    <w:link w:val="51"/>
    <w:qFormat/>
    <w:uiPriority w:val="29"/>
    <w:rPr>
      <w:i/>
      <w:iCs/>
      <w:color w:val="000000"/>
    </w:rPr>
  </w:style>
  <w:style w:type="character" w:customStyle="1" w:styleId="53">
    <w:name w:val="标题 字符"/>
    <w:link w:val="26"/>
    <w:autoRedefine/>
    <w:qFormat/>
    <w:uiPriority w:val="0"/>
    <w:rPr>
      <w:rFonts w:ascii="Arial" w:hAnsi="Arial" w:eastAsia="宋体" w:cs="Arial"/>
      <w:b/>
      <w:bCs/>
      <w:sz w:val="32"/>
      <w:szCs w:val="32"/>
    </w:rPr>
  </w:style>
  <w:style w:type="paragraph" w:customStyle="1" w:styleId="54">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autoRedefine/>
    <w:qFormat/>
    <w:uiPriority w:val="0"/>
    <w:pPr>
      <w:ind w:left="227"/>
    </w:pPr>
    <w:rPr>
      <w:rFonts w:ascii="宋体" w:hAnsi="Times New Roman" w:eastAsia="宋体" w:cs="Times New Roman"/>
      <w:sz w:val="18"/>
      <w:lang w:val="en-US" w:eastAsia="zh-CN" w:bidi="ar-SA"/>
    </w:rPr>
  </w:style>
  <w:style w:type="paragraph" w:customStyle="1" w:styleId="5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autoRedefine/>
    <w:qFormat/>
    <w:uiPriority w:val="0"/>
    <w:pPr>
      <w:spacing w:line="0" w:lineRule="atLeast"/>
    </w:pPr>
    <w:rPr>
      <w:rFonts w:ascii="黑体" w:hAnsi="宋体" w:eastAsia="黑体"/>
    </w:rPr>
  </w:style>
  <w:style w:type="paragraph" w:customStyle="1" w:styleId="60">
    <w:name w:val="标准文件_标准正文"/>
    <w:basedOn w:val="1"/>
    <w:next w:val="61"/>
    <w:autoRedefine/>
    <w:qFormat/>
    <w:uiPriority w:val="0"/>
    <w:pPr>
      <w:snapToGrid w:val="0"/>
      <w:ind w:firstLine="200" w:firstLineChars="200"/>
    </w:pPr>
    <w:rPr>
      <w:kern w:val="0"/>
    </w:rPr>
  </w:style>
  <w:style w:type="paragraph" w:customStyle="1" w:styleId="61">
    <w:name w:val="标准文件_段"/>
    <w:link w:val="189"/>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标准文件_版本"/>
    <w:basedOn w:val="60"/>
    <w:autoRedefine/>
    <w:qFormat/>
    <w:uiPriority w:val="0"/>
    <w:pPr>
      <w:adjustRightInd/>
      <w:snapToGrid/>
      <w:ind w:firstLine="0" w:firstLineChars="0"/>
    </w:pPr>
    <w:rPr>
      <w:rFonts w:ascii="宋体" w:hAnsi="宋体"/>
      <w:kern w:val="2"/>
    </w:rPr>
  </w:style>
  <w:style w:type="paragraph" w:customStyle="1" w:styleId="63">
    <w:name w:val="标准文件_标准部门"/>
    <w:basedOn w:val="1"/>
    <w:autoRedefine/>
    <w:qFormat/>
    <w:uiPriority w:val="0"/>
    <w:pPr>
      <w:jc w:val="center"/>
    </w:pPr>
    <w:rPr>
      <w:rFonts w:ascii="黑体" w:eastAsia="黑体"/>
      <w:kern w:val="0"/>
      <w:sz w:val="44"/>
    </w:rPr>
  </w:style>
  <w:style w:type="paragraph" w:customStyle="1" w:styleId="64">
    <w:name w:val="标准文件_标准代替"/>
    <w:basedOn w:val="1"/>
    <w:next w:val="1"/>
    <w:qFormat/>
    <w:uiPriority w:val="0"/>
    <w:pPr>
      <w:spacing w:line="310" w:lineRule="exact"/>
      <w:jc w:val="right"/>
    </w:pPr>
    <w:rPr>
      <w:rFonts w:ascii="宋体" w:hAnsi="宋体"/>
      <w:kern w:val="0"/>
    </w:rPr>
  </w:style>
  <w:style w:type="paragraph" w:customStyle="1" w:styleId="65">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qFormat/>
    <w:uiPriority w:val="0"/>
    <w:pPr>
      <w:jc w:val="left"/>
    </w:pPr>
  </w:style>
  <w:style w:type="paragraph" w:customStyle="1" w:styleId="68">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9">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1">
    <w:name w:val="标准文件_发布"/>
    <w:qFormat/>
    <w:uiPriority w:val="0"/>
    <w:rPr>
      <w:rFonts w:ascii="黑体" w:eastAsia="黑体"/>
      <w:spacing w:val="0"/>
      <w:w w:val="100"/>
      <w:position w:val="3"/>
      <w:sz w:val="28"/>
    </w:rPr>
  </w:style>
  <w:style w:type="paragraph" w:customStyle="1" w:styleId="72">
    <w:name w:val="标准文件_方框数字列项"/>
    <w:basedOn w:val="61"/>
    <w:qFormat/>
    <w:uiPriority w:val="0"/>
    <w:pPr>
      <w:numPr>
        <w:ilvl w:val="0"/>
        <w:numId w:val="3"/>
      </w:numPr>
      <w:ind w:firstLine="0" w:firstLineChars="0"/>
    </w:pPr>
  </w:style>
  <w:style w:type="paragraph" w:customStyle="1" w:styleId="73">
    <w:name w:val="标准文件_封面标准编号"/>
    <w:basedOn w:val="1"/>
    <w:next w:val="64"/>
    <w:qFormat/>
    <w:uiPriority w:val="0"/>
    <w:pPr>
      <w:spacing w:line="310" w:lineRule="exact"/>
      <w:jc w:val="right"/>
    </w:pPr>
    <w:rPr>
      <w:rFonts w:ascii="黑体" w:eastAsia="黑体"/>
      <w:kern w:val="0"/>
      <w:sz w:val="28"/>
    </w:rPr>
  </w:style>
  <w:style w:type="paragraph" w:customStyle="1" w:styleId="74">
    <w:name w:val="标准文件_封面标准分类号"/>
    <w:basedOn w:val="1"/>
    <w:qFormat/>
    <w:uiPriority w:val="0"/>
    <w:rPr>
      <w:rFonts w:ascii="黑体" w:eastAsia="黑体"/>
      <w:b/>
      <w:kern w:val="0"/>
      <w:sz w:val="28"/>
    </w:rPr>
  </w:style>
  <w:style w:type="paragraph" w:customStyle="1" w:styleId="75">
    <w:name w:val="标准文件_封面标准名称"/>
    <w:basedOn w:val="1"/>
    <w:qFormat/>
    <w:uiPriority w:val="0"/>
    <w:pPr>
      <w:spacing w:line="240" w:lineRule="auto"/>
      <w:jc w:val="center"/>
    </w:pPr>
    <w:rPr>
      <w:rFonts w:ascii="黑体" w:eastAsia="黑体"/>
      <w:kern w:val="0"/>
      <w:sz w:val="52"/>
    </w:rPr>
  </w:style>
  <w:style w:type="paragraph" w:customStyle="1" w:styleId="76">
    <w:name w:val="标准文件_封面标准英文名称"/>
    <w:basedOn w:val="1"/>
    <w:qFormat/>
    <w:uiPriority w:val="0"/>
    <w:pPr>
      <w:spacing w:line="240" w:lineRule="auto"/>
      <w:jc w:val="center"/>
    </w:pPr>
    <w:rPr>
      <w:rFonts w:ascii="黑体" w:eastAsia="黑体"/>
      <w:b/>
      <w:sz w:val="28"/>
    </w:rPr>
  </w:style>
  <w:style w:type="paragraph" w:customStyle="1" w:styleId="77">
    <w:name w:val="标准文件_封面发布日期"/>
    <w:basedOn w:val="1"/>
    <w:qFormat/>
    <w:uiPriority w:val="0"/>
    <w:pPr>
      <w:spacing w:line="310" w:lineRule="exact"/>
    </w:pPr>
    <w:rPr>
      <w:rFonts w:ascii="黑体" w:eastAsia="黑体"/>
      <w:kern w:val="0"/>
      <w:sz w:val="28"/>
    </w:rPr>
  </w:style>
  <w:style w:type="paragraph" w:customStyle="1" w:styleId="78">
    <w:name w:val="标准文件_封面密级"/>
    <w:basedOn w:val="1"/>
    <w:qFormat/>
    <w:uiPriority w:val="0"/>
    <w:rPr>
      <w:rFonts w:eastAsia="黑体"/>
      <w:sz w:val="32"/>
    </w:rPr>
  </w:style>
  <w:style w:type="paragraph" w:customStyle="1" w:styleId="79">
    <w:name w:val="标准文件_封面实施日期"/>
    <w:basedOn w:val="1"/>
    <w:qFormat/>
    <w:uiPriority w:val="0"/>
    <w:pPr>
      <w:spacing w:line="310" w:lineRule="exact"/>
      <w:jc w:val="right"/>
    </w:pPr>
    <w:rPr>
      <w:rFonts w:ascii="黑体" w:eastAsia="黑体"/>
      <w:sz w:val="28"/>
    </w:rPr>
  </w:style>
  <w:style w:type="paragraph" w:customStyle="1" w:styleId="80">
    <w:name w:val="标准文件_封面抬头"/>
    <w:basedOn w:val="61"/>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61"/>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9">
    <w:name w:val="标准文件_附录五级条标题"/>
    <w:next w:val="61"/>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4"/>
    <w:qFormat/>
    <w:uiPriority w:val="0"/>
    <w:rPr>
      <w:rFonts w:ascii="Times New Roman" w:hAnsi="Times New Roman" w:eastAsia="宋体" w:cs="Times New Roman"/>
      <w:szCs w:val="20"/>
    </w:rPr>
  </w:style>
  <w:style w:type="paragraph" w:customStyle="1" w:styleId="92">
    <w:name w:val="标准文件_附录章标题"/>
    <w:next w:val="6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qFormat/>
    <w:uiPriority w:val="0"/>
    <w:pPr>
      <w:ind w:left="488" w:leftChars="200" w:hanging="289" w:hangingChars="290"/>
    </w:pPr>
  </w:style>
  <w:style w:type="paragraph" w:customStyle="1" w:styleId="94">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qFormat/>
    <w:uiPriority w:val="0"/>
    <w:pPr>
      <w:spacing w:line="460" w:lineRule="exact"/>
    </w:pPr>
  </w:style>
  <w:style w:type="paragraph" w:customStyle="1" w:styleId="96">
    <w:name w:val="标准文件_目录标题"/>
    <w:basedOn w:val="1"/>
    <w:qFormat/>
    <w:uiPriority w:val="0"/>
    <w:pPr>
      <w:spacing w:after="150" w:afterLines="150" w:line="240" w:lineRule="auto"/>
      <w:jc w:val="center"/>
    </w:pPr>
    <w:rPr>
      <w:rFonts w:ascii="黑体" w:eastAsia="黑体"/>
      <w:sz w:val="32"/>
    </w:rPr>
  </w:style>
  <w:style w:type="paragraph" w:customStyle="1" w:styleId="97">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qFormat/>
    <w:uiPriority w:val="0"/>
    <w:pPr>
      <w:numPr>
        <w:numId w:val="10"/>
      </w:numPr>
      <w:ind w:left="0" w:firstLine="200"/>
    </w:pPr>
  </w:style>
  <w:style w:type="paragraph" w:customStyle="1" w:styleId="99">
    <w:name w:val="标准文件_三级条标题"/>
    <w:basedOn w:val="70"/>
    <w:next w:val="61"/>
    <w:qFormat/>
    <w:uiPriority w:val="0"/>
    <w:pPr>
      <w:widowControl/>
      <w:numPr>
        <w:ilvl w:val="4"/>
      </w:numPr>
      <w:outlineLvl w:val="3"/>
    </w:pPr>
  </w:style>
  <w:style w:type="character" w:customStyle="1" w:styleId="100">
    <w:name w:val="不明显参考1"/>
    <w:qFormat/>
    <w:uiPriority w:val="31"/>
    <w:rPr>
      <w:smallCaps/>
      <w:color w:val="C0504D"/>
      <w:u w:val="single"/>
    </w:rPr>
  </w:style>
  <w:style w:type="paragraph" w:customStyle="1" w:styleId="101">
    <w:name w:val="标准文件_示例后续"/>
    <w:basedOn w:val="1"/>
    <w:qFormat/>
    <w:uiPriority w:val="0"/>
    <w:pPr>
      <w:adjustRightInd/>
      <w:spacing w:line="240" w:lineRule="auto"/>
      <w:ind w:firstLine="200" w:firstLineChars="200"/>
    </w:pPr>
    <w:rPr>
      <w:sz w:val="18"/>
      <w:szCs w:val="24"/>
    </w:rPr>
  </w:style>
  <w:style w:type="paragraph" w:customStyle="1" w:styleId="102">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3">
    <w:name w:val="标准文件_四级条标题"/>
    <w:next w:val="61"/>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2"/>
    <w:semiHidden/>
    <w:qFormat/>
    <w:uiPriority w:val="0"/>
    <w:rPr>
      <w:rFonts w:ascii="宋体" w:hAnsi="Times New Roman" w:eastAsia="宋体" w:cs="Times New Roman"/>
      <w:sz w:val="18"/>
      <w:szCs w:val="18"/>
    </w:rPr>
  </w:style>
  <w:style w:type="paragraph" w:customStyle="1" w:styleId="105">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qFormat/>
    <w:uiPriority w:val="0"/>
    <w:pPr>
      <w:numPr>
        <w:ilvl w:val="0"/>
        <w:numId w:val="12"/>
      </w:numPr>
      <w:spacing w:line="240" w:lineRule="auto"/>
      <w:jc w:val="left"/>
    </w:pPr>
    <w:rPr>
      <w:rFonts w:ascii="宋体" w:hAnsi="宋体"/>
      <w:sz w:val="18"/>
    </w:rPr>
  </w:style>
  <w:style w:type="character" w:customStyle="1" w:styleId="107">
    <w:name w:val="标准文件_图表脚注内容"/>
    <w:qFormat/>
    <w:uiPriority w:val="0"/>
    <w:rPr>
      <w:rFonts w:ascii="宋体" w:hAnsi="宋体" w:eastAsia="宋体" w:cs="Times New Roman"/>
      <w:spacing w:val="0"/>
      <w:sz w:val="18"/>
      <w:vertAlign w:val="superscript"/>
    </w:rPr>
  </w:style>
  <w:style w:type="paragraph" w:customStyle="1" w:styleId="108">
    <w:name w:val="标准文件_五级条标题"/>
    <w:next w:val="61"/>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qFormat/>
    <w:uiPriority w:val="0"/>
    <w:pPr>
      <w:numPr>
        <w:ilvl w:val="2"/>
      </w:numPr>
      <w:spacing w:before="50" w:beforeLines="50" w:after="50" w:afterLines="50"/>
      <w:outlineLvl w:val="1"/>
    </w:pPr>
  </w:style>
  <w:style w:type="paragraph" w:customStyle="1" w:styleId="111">
    <w:name w:val="标准文件_一致程度"/>
    <w:basedOn w:val="1"/>
    <w:qFormat/>
    <w:uiPriority w:val="0"/>
    <w:pPr>
      <w:spacing w:line="440" w:lineRule="exact"/>
      <w:jc w:val="center"/>
    </w:pPr>
    <w:rPr>
      <w:sz w:val="28"/>
    </w:rPr>
  </w:style>
  <w:style w:type="paragraph" w:customStyle="1" w:styleId="112">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5">
    <w:name w:val="标准文件_英文注："/>
    <w:basedOn w:val="1"/>
    <w:next w:val="61"/>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2">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3">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4">
    <w:name w:val="发布部门"/>
    <w:next w:val="61"/>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qFormat/>
    <w:uiPriority w:val="0"/>
    <w:pPr>
      <w:outlineLvl w:val="4"/>
    </w:pPr>
  </w:style>
  <w:style w:type="paragraph" w:customStyle="1" w:styleId="135">
    <w:name w:val="附录四级无标题条"/>
    <w:basedOn w:val="134"/>
    <w:next w:val="61"/>
    <w:qFormat/>
    <w:uiPriority w:val="0"/>
    <w:pPr>
      <w:outlineLvl w:val="5"/>
    </w:pPr>
  </w:style>
  <w:style w:type="paragraph" w:customStyle="1" w:styleId="136">
    <w:name w:val="附录图"/>
    <w:next w:val="61"/>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8">
    <w:name w:val="附录五级无标题条"/>
    <w:basedOn w:val="135"/>
    <w:next w:val="61"/>
    <w:qFormat/>
    <w:uiPriority w:val="0"/>
    <w:pPr>
      <w:outlineLvl w:val="6"/>
    </w:pPr>
  </w:style>
  <w:style w:type="paragraph" w:customStyle="1" w:styleId="139">
    <w:name w:val="附录性质"/>
    <w:basedOn w:val="1"/>
    <w:qFormat/>
    <w:uiPriority w:val="0"/>
    <w:pPr>
      <w:widowControl/>
      <w:adjustRightInd/>
      <w:jc w:val="center"/>
    </w:pPr>
    <w:rPr>
      <w:rFonts w:ascii="黑体" w:eastAsia="黑体"/>
    </w:rPr>
  </w:style>
  <w:style w:type="paragraph" w:customStyle="1" w:styleId="140">
    <w:name w:val="附录一级无标题条"/>
    <w:basedOn w:val="92"/>
    <w:next w:val="61"/>
    <w:qFormat/>
    <w:uiPriority w:val="0"/>
    <w:pPr>
      <w:autoSpaceDN w:val="0"/>
      <w:outlineLvl w:val="2"/>
    </w:pPr>
    <w:rPr>
      <w:rFonts w:ascii="宋体" w:hAnsi="宋体" w:eastAsia="宋体"/>
    </w:rPr>
  </w:style>
  <w:style w:type="character" w:customStyle="1" w:styleId="141">
    <w:name w:val="个人答复风格"/>
    <w:qFormat/>
    <w:uiPriority w:val="0"/>
    <w:rPr>
      <w:rFonts w:ascii="Arial" w:hAnsi="Arial" w:eastAsia="宋体" w:cs="Arial"/>
      <w:color w:val="auto"/>
      <w:spacing w:val="0"/>
      <w:sz w:val="20"/>
    </w:rPr>
  </w:style>
  <w:style w:type="character" w:customStyle="1" w:styleId="142">
    <w:name w:val="个人撰写风格"/>
    <w:qFormat/>
    <w:uiPriority w:val="0"/>
    <w:rPr>
      <w:rFonts w:ascii="Arial" w:hAnsi="Arial" w:eastAsia="宋体" w:cs="Arial"/>
      <w:color w:val="auto"/>
      <w:spacing w:val="0"/>
      <w:sz w:val="20"/>
    </w:rPr>
  </w:style>
  <w:style w:type="paragraph" w:customStyle="1" w:styleId="143">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5">
    <w:name w:val="列项·"/>
    <w:basedOn w:val="61"/>
    <w:qFormat/>
    <w:uiPriority w:val="0"/>
    <w:pPr>
      <w:tabs>
        <w:tab w:val="left" w:pos="840"/>
      </w:tabs>
    </w:pPr>
  </w:style>
  <w:style w:type="paragraph" w:customStyle="1" w:styleId="14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semiHidden/>
    <w:qFormat/>
    <w:uiPriority w:val="0"/>
    <w:pPr>
      <w:adjustRightInd/>
      <w:spacing w:line="240" w:lineRule="auto"/>
      <w:jc w:val="left"/>
    </w:pPr>
    <w:rPr>
      <w:bCs/>
      <w:iCs/>
    </w:rPr>
  </w:style>
  <w:style w:type="paragraph" w:customStyle="1" w:styleId="148">
    <w:name w:val="目录 31"/>
    <w:basedOn w:val="1"/>
    <w:next w:val="1"/>
    <w:semiHidden/>
    <w:qFormat/>
    <w:uiPriority w:val="0"/>
    <w:pPr>
      <w:spacing w:line="240" w:lineRule="auto"/>
    </w:pPr>
    <w:rPr>
      <w:rFonts w:ascii="宋体" w:hAnsi="宋体"/>
      <w:iCs/>
    </w:rPr>
  </w:style>
  <w:style w:type="paragraph" w:customStyle="1" w:styleId="149">
    <w:name w:val="目录 41"/>
    <w:basedOn w:val="1"/>
    <w:next w:val="1"/>
    <w:semiHidden/>
    <w:qFormat/>
    <w:uiPriority w:val="0"/>
    <w:pPr>
      <w:adjustRightInd/>
      <w:spacing w:line="240" w:lineRule="auto"/>
      <w:jc w:val="left"/>
    </w:pPr>
  </w:style>
  <w:style w:type="paragraph" w:customStyle="1" w:styleId="150">
    <w:name w:val="目录 51"/>
    <w:basedOn w:val="1"/>
    <w:next w:val="1"/>
    <w:semiHidden/>
    <w:qFormat/>
    <w:uiPriority w:val="0"/>
    <w:pPr>
      <w:spacing w:line="240" w:lineRule="auto"/>
    </w:pPr>
    <w:rPr>
      <w:rFonts w:ascii="宋体" w:hAnsi="宋体"/>
    </w:rPr>
  </w:style>
  <w:style w:type="paragraph" w:customStyle="1" w:styleId="151">
    <w:name w:val="目录 61"/>
    <w:basedOn w:val="1"/>
    <w:next w:val="1"/>
    <w:semiHidden/>
    <w:qFormat/>
    <w:uiPriority w:val="0"/>
    <w:pPr>
      <w:adjustRightInd/>
      <w:spacing w:line="240" w:lineRule="auto"/>
      <w:jc w:val="left"/>
    </w:pPr>
  </w:style>
  <w:style w:type="paragraph" w:customStyle="1" w:styleId="152">
    <w:name w:val="目录 71"/>
    <w:basedOn w:val="151"/>
    <w:semiHidden/>
    <w:qFormat/>
    <w:uiPriority w:val="0"/>
    <w:pPr>
      <w:ind w:left="1260"/>
    </w:pPr>
  </w:style>
  <w:style w:type="paragraph" w:customStyle="1" w:styleId="153">
    <w:name w:val="目录 81"/>
    <w:basedOn w:val="152"/>
    <w:semiHidden/>
    <w:qFormat/>
    <w:uiPriority w:val="0"/>
    <w:pPr>
      <w:ind w:left="1470"/>
    </w:pPr>
  </w:style>
  <w:style w:type="paragraph" w:customStyle="1" w:styleId="154">
    <w:name w:val="目录 91"/>
    <w:basedOn w:val="153"/>
    <w:semiHidden/>
    <w:qFormat/>
    <w:uiPriority w:val="0"/>
    <w:pPr>
      <w:ind w:left="1680"/>
    </w:pPr>
  </w:style>
  <w:style w:type="paragraph" w:customStyle="1" w:styleId="15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qFormat/>
    <w:uiPriority w:val="0"/>
    <w:pPr>
      <w:framePr w:wrap="around"/>
      <w:spacing w:line="0" w:lineRule="atLeast"/>
    </w:pPr>
    <w:rPr>
      <w:rFonts w:ascii="黑体" w:eastAsia="黑体"/>
      <w:b w:val="0"/>
    </w:rPr>
  </w:style>
  <w:style w:type="paragraph" w:customStyle="1" w:styleId="157">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9">
    <w:name w:val="实施日期"/>
    <w:basedOn w:val="125"/>
    <w:qFormat/>
    <w:uiPriority w:val="0"/>
    <w:pPr>
      <w:framePr w:hSpace="0" w:wrap="around" w:xAlign="right"/>
      <w:jc w:val="right"/>
    </w:pPr>
  </w:style>
  <w:style w:type="paragraph" w:customStyle="1" w:styleId="160">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1">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qFormat/>
    <w:uiPriority w:val="0"/>
    <w:pPr>
      <w:numPr>
        <w:ilvl w:val="6"/>
        <w:numId w:val="20"/>
      </w:numPr>
      <w:adjustRightInd/>
    </w:pPr>
    <w:rPr>
      <w:szCs w:val="24"/>
    </w:rPr>
  </w:style>
  <w:style w:type="paragraph" w:customStyle="1" w:styleId="164">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5">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qFormat/>
    <w:uiPriority w:val="0"/>
    <w:pPr>
      <w:ind w:left="1406" w:leftChars="0" w:hanging="499" w:firstLineChars="0"/>
    </w:pPr>
  </w:style>
  <w:style w:type="paragraph" w:customStyle="1" w:styleId="167">
    <w:name w:val="标准文件_一级无标题"/>
    <w:basedOn w:val="110"/>
    <w:qFormat/>
    <w:uiPriority w:val="0"/>
    <w:pPr>
      <w:spacing w:before="0" w:beforeLines="0" w:after="0" w:afterLines="0"/>
      <w:outlineLvl w:val="9"/>
    </w:pPr>
    <w:rPr>
      <w:rFonts w:ascii="宋体" w:eastAsia="宋体"/>
    </w:rPr>
  </w:style>
  <w:style w:type="paragraph" w:customStyle="1" w:styleId="168">
    <w:name w:val="标准文件_五级无标题"/>
    <w:basedOn w:val="108"/>
    <w:qFormat/>
    <w:uiPriority w:val="0"/>
    <w:pPr>
      <w:spacing w:before="0" w:beforeLines="0" w:after="0" w:afterLines="0"/>
      <w:outlineLvl w:val="9"/>
    </w:pPr>
    <w:rPr>
      <w:rFonts w:ascii="宋体" w:eastAsia="宋体"/>
    </w:rPr>
  </w:style>
  <w:style w:type="paragraph" w:customStyle="1" w:styleId="169">
    <w:name w:val="标准文件_三级无标题"/>
    <w:basedOn w:val="99"/>
    <w:qFormat/>
    <w:uiPriority w:val="0"/>
    <w:pPr>
      <w:spacing w:before="0" w:beforeLines="0" w:after="0" w:afterLines="0"/>
      <w:outlineLvl w:val="9"/>
    </w:pPr>
    <w:rPr>
      <w:rFonts w:ascii="宋体" w:eastAsia="宋体"/>
    </w:rPr>
  </w:style>
  <w:style w:type="paragraph" w:customStyle="1" w:styleId="170">
    <w:name w:val="标准文件_二级无标题"/>
    <w:basedOn w:val="70"/>
    <w:qFormat/>
    <w:uiPriority w:val="0"/>
    <w:pPr>
      <w:spacing w:before="0" w:beforeLines="0" w:after="0" w:afterLines="0"/>
      <w:outlineLvl w:val="9"/>
    </w:pPr>
    <w:rPr>
      <w:rFonts w:ascii="宋体" w:eastAsia="宋体"/>
    </w:rPr>
  </w:style>
  <w:style w:type="paragraph" w:customStyle="1" w:styleId="171">
    <w:name w:val="标准_四级无标题"/>
    <w:basedOn w:val="103"/>
    <w:next w:val="61"/>
    <w:qFormat/>
    <w:uiPriority w:val="0"/>
    <w:rPr>
      <w:rFonts w:eastAsia="宋体"/>
    </w:rPr>
  </w:style>
  <w:style w:type="paragraph" w:customStyle="1" w:styleId="172">
    <w:name w:val="标准文件_四级无标题"/>
    <w:basedOn w:val="103"/>
    <w:qFormat/>
    <w:uiPriority w:val="0"/>
    <w:pPr>
      <w:spacing w:before="0" w:beforeLines="0" w:after="0" w:afterLines="0"/>
      <w:outlineLvl w:val="9"/>
    </w:pPr>
    <w:rPr>
      <w:rFonts w:ascii="宋体" w:hAnsi="黑体" w:eastAsia="宋体"/>
      <w:szCs w:val="52"/>
    </w:rPr>
  </w:style>
  <w:style w:type="paragraph" w:customStyle="1" w:styleId="173">
    <w:name w:val="标准文件_大写罗马数字编号列项"/>
    <w:basedOn w:val="61"/>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1"/>
    <w:qFormat/>
    <w:uiPriority w:val="0"/>
    <w:pPr>
      <w:numPr>
        <w:ilvl w:val="0"/>
        <w:numId w:val="24"/>
      </w:numPr>
      <w:ind w:firstLine="0" w:firstLineChars="0"/>
    </w:pPr>
    <w:rPr>
      <w:rFonts w:cs="Arial"/>
      <w:szCs w:val="28"/>
    </w:rPr>
  </w:style>
  <w:style w:type="paragraph" w:customStyle="1" w:styleId="175">
    <w:name w:val="标准文件_附录标题"/>
    <w:basedOn w:val="81"/>
    <w:qFormat/>
    <w:uiPriority w:val="0"/>
    <w:pPr>
      <w:numPr>
        <w:numId w:val="0"/>
      </w:numPr>
      <w:spacing w:after="280"/>
      <w:outlineLvl w:val="9"/>
    </w:pPr>
  </w:style>
  <w:style w:type="paragraph" w:customStyle="1" w:styleId="176">
    <w:name w:val="标准文件_二级项"/>
    <w:qFormat/>
    <w:uiPriority w:val="0"/>
    <w:rPr>
      <w:rFonts w:ascii="宋体" w:hAnsi="Times New Roman" w:eastAsia="宋体" w:cs="Times New Roman"/>
      <w:sz w:val="21"/>
      <w:lang w:val="en-US" w:eastAsia="zh-CN" w:bidi="ar-SA"/>
    </w:rPr>
  </w:style>
  <w:style w:type="paragraph" w:customStyle="1" w:styleId="177">
    <w:name w:val="标准文件_三级项"/>
    <w:basedOn w:val="1"/>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1"/>
    <w:qFormat/>
    <w:uiPriority w:val="0"/>
    <w:pPr>
      <w:numPr>
        <w:ilvl w:val="0"/>
        <w:numId w:val="25"/>
      </w:numPr>
      <w:adjustRightInd/>
      <w:spacing w:line="240" w:lineRule="auto"/>
      <w:ind w:left="783"/>
    </w:pPr>
    <w:rPr>
      <w:rFonts w:ascii="宋体" w:hAnsi="Times New Roman"/>
      <w:sz w:val="18"/>
      <w:szCs w:val="18"/>
    </w:rPr>
  </w:style>
  <w:style w:type="paragraph" w:customStyle="1" w:styleId="179">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0">
    <w:name w:val="标准文件_索引字母"/>
    <w:next w:val="61"/>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qFormat/>
    <w:uiPriority w:val="0"/>
    <w:pPr>
      <w:ind w:firstLine="0" w:firstLineChars="0"/>
      <w:jc w:val="center"/>
    </w:pPr>
    <w:rPr>
      <w:sz w:val="18"/>
    </w:rPr>
  </w:style>
  <w:style w:type="paragraph" w:customStyle="1" w:styleId="184">
    <w:name w:val="标准文件_注："/>
    <w:next w:val="61"/>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qFormat/>
    <w:uiPriority w:val="0"/>
    <w:pPr>
      <w:ind w:firstLine="420"/>
    </w:pPr>
    <w:rPr>
      <w:sz w:val="18"/>
    </w:rPr>
  </w:style>
  <w:style w:type="paragraph" w:customStyle="1" w:styleId="188">
    <w:name w:val="标准文件_示例×："/>
    <w:basedOn w:val="1"/>
    <w:next w:val="187"/>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9">
    <w:name w:val="标准文件_段 Char"/>
    <w:link w:val="61"/>
    <w:qFormat/>
    <w:uiPriority w:val="0"/>
    <w:rPr>
      <w:rFonts w:ascii="宋体" w:hAnsi="Times New Roman"/>
      <w:sz w:val="21"/>
    </w:rPr>
  </w:style>
  <w:style w:type="paragraph" w:customStyle="1" w:styleId="190">
    <w:name w:val="标准文件_表格续"/>
    <w:basedOn w:val="61"/>
    <w:next w:val="61"/>
    <w:qFormat/>
    <w:uiPriority w:val="0"/>
    <w:pPr>
      <w:jc w:val="center"/>
    </w:pPr>
    <w:rPr>
      <w:rFonts w:ascii="黑体" w:hAnsi="黑体" w:eastAsia="黑体"/>
    </w:rPr>
  </w:style>
  <w:style w:type="character" w:styleId="191">
    <w:name w:val="Placeholder Text"/>
    <w:basedOn w:val="31"/>
    <w:semiHidden/>
    <w:qFormat/>
    <w:uiPriority w:val="99"/>
    <w:rPr>
      <w:color w:val="808080"/>
    </w:rPr>
  </w:style>
  <w:style w:type="paragraph" w:customStyle="1" w:styleId="192">
    <w:name w:val="标准文件_二级项2"/>
    <w:basedOn w:val="61"/>
    <w:qFormat/>
    <w:uiPriority w:val="0"/>
    <w:pPr>
      <w:numPr>
        <w:ilvl w:val="1"/>
        <w:numId w:val="21"/>
      </w:numPr>
      <w:ind w:left="1271" w:hanging="420" w:firstLineChars="0"/>
    </w:pPr>
  </w:style>
  <w:style w:type="paragraph" w:customStyle="1" w:styleId="193">
    <w:name w:val="标准文件_三级项2"/>
    <w:basedOn w:val="61"/>
    <w:qFormat/>
    <w:uiPriority w:val="0"/>
    <w:pPr>
      <w:numPr>
        <w:ilvl w:val="0"/>
        <w:numId w:val="30"/>
      </w:numPr>
      <w:spacing w:line="300" w:lineRule="exact"/>
      <w:ind w:left="1276" w:hanging="425" w:firstLineChars="0"/>
    </w:pPr>
    <w:rPr>
      <w:rFonts w:ascii="Times New Roman"/>
    </w:rPr>
  </w:style>
  <w:style w:type="paragraph" w:customStyle="1" w:styleId="194">
    <w:name w:val="标准文件_一级项2"/>
    <w:basedOn w:val="61"/>
    <w:qFormat/>
    <w:uiPriority w:val="0"/>
    <w:pPr>
      <w:numPr>
        <w:ilvl w:val="0"/>
        <w:numId w:val="31"/>
      </w:numPr>
      <w:spacing w:line="300" w:lineRule="exact"/>
      <w:ind w:left="1271" w:hanging="420" w:firstLineChars="0"/>
    </w:pPr>
    <w:rPr>
      <w:rFonts w:ascii="Times New Roman"/>
    </w:rPr>
  </w:style>
  <w:style w:type="paragraph" w:customStyle="1" w:styleId="195">
    <w:name w:val="标准文件_提示"/>
    <w:basedOn w:val="61"/>
    <w:next w:val="61"/>
    <w:qFormat/>
    <w:uiPriority w:val="0"/>
    <w:pPr>
      <w:ind w:firstLine="420"/>
    </w:pPr>
    <w:rPr>
      <w:rFonts w:ascii="黑体" w:eastAsia="黑体"/>
    </w:rPr>
  </w:style>
  <w:style w:type="character" w:customStyle="1" w:styleId="196">
    <w:name w:val="标准文件_来源"/>
    <w:basedOn w:val="31"/>
    <w:qFormat/>
    <w:uiPriority w:val="1"/>
    <w:rPr>
      <w:rFonts w:eastAsia="宋体"/>
      <w:sz w:val="21"/>
    </w:rPr>
  </w:style>
  <w:style w:type="paragraph" w:customStyle="1" w:styleId="197">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qFormat/>
    <w:uiPriority w:val="0"/>
    <w:pPr>
      <w:framePr w:w="3997" w:h="471" w:hRule="exact" w:hSpace="0" w:vSpace="181" w:wrap="around" w:vAnchor="page" w:hAnchor="page" w:x="1419" w:y="14097"/>
    </w:pPr>
  </w:style>
  <w:style w:type="paragraph" w:customStyle="1" w:styleId="199">
    <w:name w:val="其他实施日期"/>
    <w:basedOn w:val="159"/>
    <w:qFormat/>
    <w:uiPriority w:val="0"/>
    <w:pPr>
      <w:framePr w:w="3997" w:h="471" w:hRule="exact" w:vSpace="181" w:wrap="around" w:vAnchor="page" w:hAnchor="page" w:x="7089" w:y="14097"/>
    </w:pPr>
  </w:style>
  <w:style w:type="paragraph" w:customStyle="1" w:styleId="200">
    <w:name w:val="标准文件_文件编号"/>
    <w:basedOn w:val="61"/>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qFormat/>
    <w:uiPriority w:val="0"/>
    <w:pPr>
      <w:spacing w:before="57"/>
    </w:pPr>
    <w:rPr>
      <w:sz w:val="21"/>
    </w:rPr>
  </w:style>
  <w:style w:type="paragraph" w:customStyle="1" w:styleId="202">
    <w:name w:val="标准文件_文件名称"/>
    <w:basedOn w:val="61"/>
    <w:next w:val="61"/>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1"/>
    <w:next w:val="61"/>
    <w:qFormat/>
    <w:uiPriority w:val="0"/>
    <w:pPr>
      <w:numPr>
        <w:ilvl w:val="1"/>
        <w:numId w:val="8"/>
      </w:numPr>
      <w:spacing w:before="50" w:beforeLines="50" w:after="50" w:afterLines="50"/>
      <w:ind w:firstLineChars="0"/>
    </w:pPr>
    <w:rPr>
      <w:rFonts w:ascii="黑体" w:eastAsia="黑体"/>
    </w:rPr>
  </w:style>
  <w:style w:type="paragraph" w:customStyle="1" w:styleId="206">
    <w:name w:val="标准文件_引言二级条标题"/>
    <w:basedOn w:val="61"/>
    <w:next w:val="61"/>
    <w:qFormat/>
    <w:uiPriority w:val="0"/>
    <w:pPr>
      <w:numPr>
        <w:ilvl w:val="2"/>
        <w:numId w:val="8"/>
      </w:numPr>
      <w:spacing w:before="50" w:beforeLines="50" w:after="50" w:afterLines="50"/>
      <w:ind w:firstLineChars="0"/>
    </w:pPr>
    <w:rPr>
      <w:rFonts w:ascii="黑体" w:eastAsia="黑体"/>
    </w:rPr>
  </w:style>
  <w:style w:type="paragraph" w:customStyle="1" w:styleId="207">
    <w:name w:val="标准文件_引言三级条标题"/>
    <w:basedOn w:val="61"/>
    <w:next w:val="61"/>
    <w:qFormat/>
    <w:uiPriority w:val="0"/>
    <w:pPr>
      <w:numPr>
        <w:ilvl w:val="3"/>
        <w:numId w:val="8"/>
      </w:numPr>
      <w:spacing w:before="50" w:beforeLines="50" w:after="50" w:afterLines="50"/>
      <w:ind w:firstLineChars="0"/>
    </w:pPr>
    <w:rPr>
      <w:rFonts w:ascii="黑体" w:eastAsia="黑体"/>
    </w:rPr>
  </w:style>
  <w:style w:type="paragraph" w:customStyle="1" w:styleId="208">
    <w:name w:val="标准文件_引言四级条标题"/>
    <w:basedOn w:val="61"/>
    <w:next w:val="61"/>
    <w:qFormat/>
    <w:uiPriority w:val="0"/>
    <w:pPr>
      <w:numPr>
        <w:ilvl w:val="4"/>
        <w:numId w:val="8"/>
      </w:numPr>
      <w:spacing w:before="50" w:beforeLines="50" w:after="50" w:afterLines="50"/>
      <w:ind w:firstLineChars="0"/>
    </w:pPr>
    <w:rPr>
      <w:rFonts w:ascii="黑体" w:eastAsia="黑体"/>
    </w:rPr>
  </w:style>
  <w:style w:type="paragraph" w:customStyle="1" w:styleId="209">
    <w:name w:val="标准文件_引言五级条标题"/>
    <w:basedOn w:val="61"/>
    <w:next w:val="61"/>
    <w:qFormat/>
    <w:uiPriority w:val="0"/>
    <w:pPr>
      <w:numPr>
        <w:ilvl w:val="5"/>
        <w:numId w:val="8"/>
      </w:numPr>
      <w:spacing w:before="50" w:beforeLines="50" w:after="50" w:afterLines="50"/>
      <w:ind w:firstLineChars="0"/>
    </w:pPr>
    <w:rPr>
      <w:rFonts w:ascii="黑体" w:eastAsia="黑体"/>
    </w:rPr>
  </w:style>
  <w:style w:type="paragraph" w:customStyle="1" w:styleId="210">
    <w:name w:val="标准文件_注后"/>
    <w:basedOn w:val="61"/>
    <w:qFormat/>
    <w:uiPriority w:val="0"/>
    <w:pPr>
      <w:ind w:left="811" w:firstLine="0" w:firstLineChars="0"/>
    </w:pPr>
    <w:rPr>
      <w:sz w:val="18"/>
    </w:rPr>
  </w:style>
  <w:style w:type="paragraph" w:customStyle="1" w:styleId="211">
    <w:name w:val="标准文件_注X后"/>
    <w:basedOn w:val="61"/>
    <w:qFormat/>
    <w:uiPriority w:val="0"/>
    <w:pPr>
      <w:ind w:left="811" w:firstLine="0" w:firstLineChars="0"/>
    </w:pPr>
    <w:rPr>
      <w:sz w:val="18"/>
    </w:rPr>
  </w:style>
  <w:style w:type="paragraph" w:customStyle="1" w:styleId="212">
    <w:name w:val="标准文件_示例后"/>
    <w:basedOn w:val="61"/>
    <w:qFormat/>
    <w:uiPriority w:val="0"/>
    <w:pPr>
      <w:ind w:left="964" w:firstLine="0" w:firstLineChars="0"/>
    </w:pPr>
    <w:rPr>
      <w:sz w:val="18"/>
    </w:rPr>
  </w:style>
  <w:style w:type="paragraph" w:customStyle="1" w:styleId="213">
    <w:name w:val="标准文件_示例X后"/>
    <w:basedOn w:val="61"/>
    <w:link w:val="214"/>
    <w:qFormat/>
    <w:uiPriority w:val="0"/>
    <w:pPr>
      <w:ind w:left="1049" w:firstLine="0" w:firstLineChars="0"/>
    </w:pPr>
    <w:rPr>
      <w:sz w:val="18"/>
    </w:rPr>
  </w:style>
  <w:style w:type="character" w:customStyle="1" w:styleId="214">
    <w:name w:val="标准文件_示例X后 字符"/>
    <w:basedOn w:val="189"/>
    <w:link w:val="213"/>
    <w:qFormat/>
    <w:uiPriority w:val="0"/>
    <w:rPr>
      <w:rFonts w:ascii="宋体" w:hAnsi="Times New Roman"/>
      <w:sz w:val="18"/>
    </w:rPr>
  </w:style>
  <w:style w:type="paragraph" w:customStyle="1" w:styleId="215">
    <w:name w:val="标准文件_索引项"/>
    <w:basedOn w:val="61"/>
    <w:next w:val="61"/>
    <w:qFormat/>
    <w:uiPriority w:val="0"/>
    <w:pPr>
      <w:tabs>
        <w:tab w:val="right" w:leader="dot" w:pos="9356"/>
      </w:tabs>
      <w:ind w:left="210" w:hanging="210" w:firstLineChars="0"/>
      <w:jc w:val="left"/>
    </w:pPr>
  </w:style>
  <w:style w:type="paragraph" w:customStyle="1" w:styleId="216">
    <w:name w:val="标准文件_附录一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二级无标题"/>
    <w:basedOn w:val="84"/>
    <w:qFormat/>
    <w:uiPriority w:val="0"/>
    <w:pPr>
      <w:spacing w:before="0" w:beforeLines="0" w:after="0" w:afterLines="0" w:line="276" w:lineRule="auto"/>
      <w:outlineLvl w:val="9"/>
    </w:pPr>
    <w:rPr>
      <w:rFonts w:ascii="宋体" w:eastAsia="宋体"/>
    </w:rPr>
  </w:style>
  <w:style w:type="paragraph" w:customStyle="1" w:styleId="218">
    <w:name w:val="标准文件_附录三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四级无标题"/>
    <w:basedOn w:val="87"/>
    <w:qFormat/>
    <w:uiPriority w:val="0"/>
    <w:pPr>
      <w:spacing w:before="0" w:beforeLines="0" w:after="0" w:afterLines="0" w:line="276" w:lineRule="auto"/>
      <w:outlineLvl w:val="9"/>
    </w:pPr>
    <w:rPr>
      <w:rFonts w:ascii="宋体" w:eastAsia="宋体"/>
    </w:rPr>
  </w:style>
  <w:style w:type="paragraph" w:customStyle="1" w:styleId="220">
    <w:name w:val="标准文件_附录五级无标题"/>
    <w:basedOn w:val="89"/>
    <w:qFormat/>
    <w:uiPriority w:val="0"/>
    <w:pPr>
      <w:spacing w:before="0" w:beforeLines="0" w:after="0" w:afterLines="0" w:line="276" w:lineRule="auto"/>
      <w:outlineLvl w:val="9"/>
    </w:pPr>
    <w:rPr>
      <w:rFonts w:ascii="宋体" w:eastAsia="宋体"/>
    </w:rPr>
  </w:style>
  <w:style w:type="paragraph" w:customStyle="1" w:styleId="221">
    <w:name w:val="标准文件_引言一级无标题"/>
    <w:basedOn w:val="205"/>
    <w:next w:val="61"/>
    <w:qFormat/>
    <w:uiPriority w:val="0"/>
    <w:pPr>
      <w:spacing w:before="0" w:beforeLines="0" w:after="0" w:afterLines="0" w:line="276" w:lineRule="auto"/>
    </w:pPr>
    <w:rPr>
      <w:rFonts w:ascii="宋体" w:eastAsia="宋体"/>
    </w:rPr>
  </w:style>
  <w:style w:type="paragraph" w:customStyle="1" w:styleId="222">
    <w:name w:val="标准文件_引言二级无标题"/>
    <w:basedOn w:val="206"/>
    <w:next w:val="61"/>
    <w:qFormat/>
    <w:uiPriority w:val="0"/>
    <w:pPr>
      <w:spacing w:before="0" w:beforeLines="0" w:after="0" w:afterLines="0" w:line="276" w:lineRule="auto"/>
    </w:pPr>
    <w:rPr>
      <w:rFonts w:ascii="宋体" w:eastAsia="宋体"/>
    </w:rPr>
  </w:style>
  <w:style w:type="paragraph" w:customStyle="1" w:styleId="223">
    <w:name w:val="标准文件_引言三级无标题"/>
    <w:basedOn w:val="207"/>
    <w:next w:val="61"/>
    <w:qFormat/>
    <w:uiPriority w:val="0"/>
    <w:pPr>
      <w:spacing w:before="0" w:beforeLines="0" w:after="0" w:afterLines="0" w:line="276" w:lineRule="auto"/>
    </w:pPr>
    <w:rPr>
      <w:rFonts w:ascii="宋体" w:eastAsia="宋体"/>
    </w:rPr>
  </w:style>
  <w:style w:type="paragraph" w:customStyle="1" w:styleId="224">
    <w:name w:val="标准文件_引言四级无标题"/>
    <w:basedOn w:val="208"/>
    <w:next w:val="61"/>
    <w:qFormat/>
    <w:uiPriority w:val="0"/>
    <w:pPr>
      <w:spacing w:before="0" w:beforeLines="0" w:after="0" w:afterLines="0" w:line="276" w:lineRule="auto"/>
    </w:pPr>
    <w:rPr>
      <w:rFonts w:ascii="宋体" w:eastAsia="宋体"/>
    </w:rPr>
  </w:style>
  <w:style w:type="paragraph" w:customStyle="1" w:styleId="225">
    <w:name w:val="标准文件_引言五级无标题"/>
    <w:basedOn w:val="209"/>
    <w:next w:val="61"/>
    <w:qFormat/>
    <w:uiPriority w:val="0"/>
    <w:pPr>
      <w:spacing w:before="0" w:beforeLines="0" w:after="0" w:afterLines="0" w:line="276" w:lineRule="auto"/>
    </w:pPr>
    <w:rPr>
      <w:rFonts w:ascii="宋体" w:eastAsia="宋体"/>
    </w:rPr>
  </w:style>
  <w:style w:type="paragraph" w:customStyle="1" w:styleId="226">
    <w:name w:val="标准文件_索引标题"/>
    <w:basedOn w:val="68"/>
    <w:next w:val="61"/>
    <w:qFormat/>
    <w:uiPriority w:val="0"/>
    <w:rPr>
      <w:rFonts w:hAnsi="黑体"/>
    </w:rPr>
  </w:style>
  <w:style w:type="paragraph" w:customStyle="1" w:styleId="227">
    <w:name w:val="标准文件_脚注内容"/>
    <w:basedOn w:val="61"/>
    <w:qFormat/>
    <w:uiPriority w:val="0"/>
    <w:pPr>
      <w:ind w:left="400" w:leftChars="200" w:hanging="200" w:hangingChars="200"/>
    </w:pPr>
    <w:rPr>
      <w:sz w:val="15"/>
    </w:rPr>
  </w:style>
  <w:style w:type="paragraph" w:customStyle="1" w:styleId="228">
    <w:name w:val="标准文件_术语条一"/>
    <w:basedOn w:val="167"/>
    <w:next w:val="61"/>
    <w:qFormat/>
    <w:uiPriority w:val="0"/>
  </w:style>
  <w:style w:type="paragraph" w:customStyle="1" w:styleId="229">
    <w:name w:val="标准文件_术语条二"/>
    <w:basedOn w:val="170"/>
    <w:next w:val="61"/>
    <w:qFormat/>
    <w:uiPriority w:val="0"/>
  </w:style>
  <w:style w:type="paragraph" w:customStyle="1" w:styleId="230">
    <w:name w:val="标准文件_术语条三"/>
    <w:basedOn w:val="169"/>
    <w:next w:val="61"/>
    <w:qFormat/>
    <w:uiPriority w:val="0"/>
  </w:style>
  <w:style w:type="paragraph" w:customStyle="1" w:styleId="231">
    <w:name w:val="标准文件_术语条四"/>
    <w:basedOn w:val="172"/>
    <w:next w:val="61"/>
    <w:qFormat/>
    <w:uiPriority w:val="0"/>
  </w:style>
  <w:style w:type="paragraph" w:customStyle="1" w:styleId="232">
    <w:name w:val="标准文件_术语条五"/>
    <w:basedOn w:val="168"/>
    <w:next w:val="61"/>
    <w:qFormat/>
    <w:uiPriority w:val="0"/>
  </w:style>
  <w:style w:type="paragraph" w:customStyle="1" w:styleId="23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4">
    <w:name w:val="发布"/>
    <w:basedOn w:val="31"/>
    <w:qFormat/>
    <w:uiPriority w:val="0"/>
    <w:rPr>
      <w:rFonts w:ascii="黑体" w:eastAsia="黑体"/>
      <w:spacing w:val="85"/>
      <w:w w:val="100"/>
      <w:position w:val="3"/>
      <w:sz w:val="28"/>
      <w:szCs w:val="28"/>
    </w:rPr>
  </w:style>
  <w:style w:type="paragraph" w:customStyle="1" w:styleId="235">
    <w:name w:val="段"/>
    <w:link w:val="236"/>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236">
    <w:name w:val="段 Char"/>
    <w:link w:val="235"/>
    <w:qFormat/>
    <w:uiPriority w:val="0"/>
    <w:rPr>
      <w:rFonts w:ascii="宋体" w:hAnsi="Times New Roman"/>
      <w:sz w:val="21"/>
      <w:szCs w:val="22"/>
    </w:rPr>
  </w:style>
  <w:style w:type="character" w:customStyle="1" w:styleId="237">
    <w:name w:val="批注文字 字符"/>
    <w:basedOn w:val="31"/>
    <w:link w:val="13"/>
    <w:qFormat/>
    <w:uiPriority w:val="0"/>
    <w:rPr>
      <w:rFonts w:ascii="Times New Roman" w:hAnsi="Times New Roman"/>
      <w:kern w:val="2"/>
      <w:sz w:val="21"/>
      <w:szCs w:val="24"/>
    </w:rPr>
  </w:style>
  <w:style w:type="paragraph" w:styleId="238">
    <w:name w:val="List Paragraph"/>
    <w:basedOn w:val="1"/>
    <w:qFormat/>
    <w:uiPriority w:val="34"/>
    <w:pPr>
      <w:ind w:firstLine="420" w:firstLineChars="200"/>
    </w:pPr>
    <w:rPr>
      <w:szCs w:val="22"/>
    </w:rPr>
  </w:style>
  <w:style w:type="paragraph" w:customStyle="1" w:styleId="239">
    <w:name w:val="u正文"/>
    <w:basedOn w:val="1"/>
    <w:autoRedefine/>
    <w:qFormat/>
    <w:uiPriority w:val="0"/>
    <w:pPr>
      <w:adjustRightInd/>
      <w:spacing w:beforeLines="10" w:line="312" w:lineRule="auto"/>
    </w:pPr>
    <w:rPr>
      <w:rFonts w:ascii="Times New Roman" w:hAnsi="Times New Roman"/>
      <w:sz w:val="24"/>
      <w:szCs w:val="20"/>
    </w:rPr>
  </w:style>
  <w:style w:type="paragraph" w:customStyle="1" w:styleId="240">
    <w:name w:val="三级条标题"/>
    <w:basedOn w:val="1"/>
    <w:next w:val="1"/>
    <w:qFormat/>
    <w:uiPriority w:val="0"/>
    <w:pPr>
      <w:widowControl/>
      <w:numPr>
        <w:ilvl w:val="3"/>
        <w:numId w:val="32"/>
      </w:numPr>
      <w:outlineLvl w:val="4"/>
    </w:pPr>
    <w:rPr>
      <w:rFonts w:ascii="黑体" w:eastAsia="黑体"/>
      <w:kern w:val="0"/>
      <w:szCs w:val="20"/>
    </w:rPr>
  </w:style>
  <w:style w:type="paragraph" w:customStyle="1" w:styleId="241">
    <w:name w:val="修订1"/>
    <w:hidden/>
    <w:unhideWhenUsed/>
    <w:qFormat/>
    <w:uiPriority w:val="99"/>
    <w:rPr>
      <w:rFonts w:ascii="Calibri" w:hAnsi="Calibri" w:eastAsia="宋体" w:cs="Times New Roman"/>
      <w:kern w:val="2"/>
      <w:sz w:val="21"/>
      <w:szCs w:val="21"/>
      <w:lang w:val="en-US" w:eastAsia="zh-CN" w:bidi="ar-SA"/>
    </w:rPr>
  </w:style>
  <w:style w:type="character" w:customStyle="1" w:styleId="242">
    <w:name w:val="批注主题 字符"/>
    <w:basedOn w:val="237"/>
    <w:link w:val="27"/>
    <w:semiHidden/>
    <w:qFormat/>
    <w:uiPriority w:val="99"/>
    <w:rPr>
      <w:rFonts w:ascii="Times New Roman" w:hAnsi="Times New Roman"/>
      <w:b/>
      <w:bCs/>
      <w:kern w:val="2"/>
      <w:sz w:val="21"/>
      <w:szCs w:val="21"/>
    </w:rPr>
  </w:style>
  <w:style w:type="paragraph" w:customStyle="1" w:styleId="243">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4.bin"/><Relationship Id="rId98" Type="http://schemas.openxmlformats.org/officeDocument/2006/relationships/image" Target="media/image42.wmf"/><Relationship Id="rId97" Type="http://schemas.openxmlformats.org/officeDocument/2006/relationships/oleObject" Target="embeddings/oleObject43.bin"/><Relationship Id="rId96" Type="http://schemas.openxmlformats.org/officeDocument/2006/relationships/image" Target="media/image41.wmf"/><Relationship Id="rId95" Type="http://schemas.openxmlformats.org/officeDocument/2006/relationships/oleObject" Target="embeddings/oleObject42.bin"/><Relationship Id="rId94" Type="http://schemas.openxmlformats.org/officeDocument/2006/relationships/image" Target="media/image40.wmf"/><Relationship Id="rId93" Type="http://schemas.openxmlformats.org/officeDocument/2006/relationships/oleObject" Target="embeddings/oleObject41.bin"/><Relationship Id="rId92" Type="http://schemas.openxmlformats.org/officeDocument/2006/relationships/image" Target="media/image39.wmf"/><Relationship Id="rId91" Type="http://schemas.openxmlformats.org/officeDocument/2006/relationships/oleObject" Target="embeddings/oleObject40.bin"/><Relationship Id="rId90" Type="http://schemas.openxmlformats.org/officeDocument/2006/relationships/image" Target="media/image38.wmf"/><Relationship Id="rId9" Type="http://schemas.openxmlformats.org/officeDocument/2006/relationships/footer" Target="footer2.xml"/><Relationship Id="rId89" Type="http://schemas.openxmlformats.org/officeDocument/2006/relationships/oleObject" Target="embeddings/oleObject39.bin"/><Relationship Id="rId88" Type="http://schemas.openxmlformats.org/officeDocument/2006/relationships/image" Target="media/image37.wmf"/><Relationship Id="rId87" Type="http://schemas.openxmlformats.org/officeDocument/2006/relationships/oleObject" Target="embeddings/oleObject38.bin"/><Relationship Id="rId86" Type="http://schemas.openxmlformats.org/officeDocument/2006/relationships/image" Target="media/image36.wmf"/><Relationship Id="rId85" Type="http://schemas.openxmlformats.org/officeDocument/2006/relationships/oleObject" Target="embeddings/oleObject37.bin"/><Relationship Id="rId84" Type="http://schemas.openxmlformats.org/officeDocument/2006/relationships/image" Target="media/image35.wmf"/><Relationship Id="rId83" Type="http://schemas.openxmlformats.org/officeDocument/2006/relationships/oleObject" Target="embeddings/oleObject36.bin"/><Relationship Id="rId82" Type="http://schemas.openxmlformats.org/officeDocument/2006/relationships/image" Target="media/image34.wmf"/><Relationship Id="rId81" Type="http://schemas.openxmlformats.org/officeDocument/2006/relationships/oleObject" Target="embeddings/oleObject35.bin"/><Relationship Id="rId80" Type="http://schemas.openxmlformats.org/officeDocument/2006/relationships/image" Target="media/image33.wmf"/><Relationship Id="rId8" Type="http://schemas.openxmlformats.org/officeDocument/2006/relationships/footer" Target="footer1.xml"/><Relationship Id="rId79" Type="http://schemas.openxmlformats.org/officeDocument/2006/relationships/oleObject" Target="embeddings/oleObject34.bin"/><Relationship Id="rId78" Type="http://schemas.openxmlformats.org/officeDocument/2006/relationships/image" Target="media/image32.wmf"/><Relationship Id="rId77" Type="http://schemas.openxmlformats.org/officeDocument/2006/relationships/oleObject" Target="embeddings/oleObject33.bin"/><Relationship Id="rId76" Type="http://schemas.openxmlformats.org/officeDocument/2006/relationships/image" Target="media/image31.wmf"/><Relationship Id="rId75" Type="http://schemas.openxmlformats.org/officeDocument/2006/relationships/oleObject" Target="embeddings/oleObject32.bin"/><Relationship Id="rId74" Type="http://schemas.openxmlformats.org/officeDocument/2006/relationships/image" Target="media/image30.wmf"/><Relationship Id="rId73" Type="http://schemas.openxmlformats.org/officeDocument/2006/relationships/oleObject" Target="embeddings/oleObject31.bin"/><Relationship Id="rId72" Type="http://schemas.openxmlformats.org/officeDocument/2006/relationships/image" Target="media/image29.wmf"/><Relationship Id="rId71" Type="http://schemas.openxmlformats.org/officeDocument/2006/relationships/oleObject" Target="embeddings/oleObject30.bin"/><Relationship Id="rId70" Type="http://schemas.openxmlformats.org/officeDocument/2006/relationships/image" Target="media/image28.wmf"/><Relationship Id="rId7" Type="http://schemas.openxmlformats.org/officeDocument/2006/relationships/header" Target="header3.xml"/><Relationship Id="rId69" Type="http://schemas.openxmlformats.org/officeDocument/2006/relationships/oleObject" Target="embeddings/oleObject29.bin"/><Relationship Id="rId68" Type="http://schemas.openxmlformats.org/officeDocument/2006/relationships/image" Target="media/image27.wmf"/><Relationship Id="rId67" Type="http://schemas.openxmlformats.org/officeDocument/2006/relationships/oleObject" Target="embeddings/oleObject28.bin"/><Relationship Id="rId66" Type="http://schemas.openxmlformats.org/officeDocument/2006/relationships/oleObject" Target="embeddings/oleObject27.bin"/><Relationship Id="rId65" Type="http://schemas.openxmlformats.org/officeDocument/2006/relationships/image" Target="media/image26.wmf"/><Relationship Id="rId64" Type="http://schemas.openxmlformats.org/officeDocument/2006/relationships/oleObject" Target="embeddings/oleObject26.bin"/><Relationship Id="rId63" Type="http://schemas.openxmlformats.org/officeDocument/2006/relationships/image" Target="media/image25.wmf"/><Relationship Id="rId62" Type="http://schemas.openxmlformats.org/officeDocument/2006/relationships/oleObject" Target="embeddings/oleObject25.bin"/><Relationship Id="rId61" Type="http://schemas.openxmlformats.org/officeDocument/2006/relationships/oleObject" Target="embeddings/oleObject24.bin"/><Relationship Id="rId60" Type="http://schemas.openxmlformats.org/officeDocument/2006/relationships/image" Target="media/image24.wmf"/><Relationship Id="rId6" Type="http://schemas.openxmlformats.org/officeDocument/2006/relationships/header" Target="header2.xml"/><Relationship Id="rId59" Type="http://schemas.openxmlformats.org/officeDocument/2006/relationships/oleObject" Target="embeddings/oleObject23.bin"/><Relationship Id="rId58" Type="http://schemas.openxmlformats.org/officeDocument/2006/relationships/image" Target="media/image23.wmf"/><Relationship Id="rId57" Type="http://schemas.openxmlformats.org/officeDocument/2006/relationships/oleObject" Target="embeddings/oleObject22.bin"/><Relationship Id="rId56" Type="http://schemas.openxmlformats.org/officeDocument/2006/relationships/image" Target="media/image22.wmf"/><Relationship Id="rId55" Type="http://schemas.openxmlformats.org/officeDocument/2006/relationships/oleObject" Target="embeddings/oleObject21.bin"/><Relationship Id="rId54" Type="http://schemas.openxmlformats.org/officeDocument/2006/relationships/image" Target="media/image21.wmf"/><Relationship Id="rId53" Type="http://schemas.openxmlformats.org/officeDocument/2006/relationships/oleObject" Target="embeddings/oleObject20.bin"/><Relationship Id="rId52" Type="http://schemas.openxmlformats.org/officeDocument/2006/relationships/image" Target="media/image20.wmf"/><Relationship Id="rId51" Type="http://schemas.openxmlformats.org/officeDocument/2006/relationships/oleObject" Target="embeddings/oleObject19.bin"/><Relationship Id="rId50" Type="http://schemas.openxmlformats.org/officeDocument/2006/relationships/image" Target="media/image19.wmf"/><Relationship Id="rId5" Type="http://schemas.openxmlformats.org/officeDocument/2006/relationships/header" Target="header1.xml"/><Relationship Id="rId49" Type="http://schemas.openxmlformats.org/officeDocument/2006/relationships/oleObject" Target="embeddings/oleObject18.bin"/><Relationship Id="rId48" Type="http://schemas.openxmlformats.org/officeDocument/2006/relationships/image" Target="media/image18.wmf"/><Relationship Id="rId47" Type="http://schemas.openxmlformats.org/officeDocument/2006/relationships/oleObject" Target="embeddings/oleObject17.bin"/><Relationship Id="rId46" Type="http://schemas.openxmlformats.org/officeDocument/2006/relationships/image" Target="media/image17.wmf"/><Relationship Id="rId45" Type="http://schemas.openxmlformats.org/officeDocument/2006/relationships/oleObject" Target="embeddings/oleObject16.bin"/><Relationship Id="rId44" Type="http://schemas.openxmlformats.org/officeDocument/2006/relationships/image" Target="media/image16.wmf"/><Relationship Id="rId43" Type="http://schemas.openxmlformats.org/officeDocument/2006/relationships/oleObject" Target="embeddings/oleObject15.bin"/><Relationship Id="rId42" Type="http://schemas.openxmlformats.org/officeDocument/2006/relationships/image" Target="media/image15.wmf"/><Relationship Id="rId41" Type="http://schemas.openxmlformats.org/officeDocument/2006/relationships/oleObject" Target="embeddings/oleObject14.bin"/><Relationship Id="rId40" Type="http://schemas.openxmlformats.org/officeDocument/2006/relationships/image" Target="media/image14.wmf"/><Relationship Id="rId4" Type="http://schemas.openxmlformats.org/officeDocument/2006/relationships/endnotes" Target="endnotes.xml"/><Relationship Id="rId39" Type="http://schemas.openxmlformats.org/officeDocument/2006/relationships/oleObject" Target="embeddings/oleObject13.bin"/><Relationship Id="rId38" Type="http://schemas.openxmlformats.org/officeDocument/2006/relationships/image" Target="media/image13.wmf"/><Relationship Id="rId37" Type="http://schemas.openxmlformats.org/officeDocument/2006/relationships/oleObject" Target="embeddings/oleObject12.bin"/><Relationship Id="rId36" Type="http://schemas.openxmlformats.org/officeDocument/2006/relationships/image" Target="media/image12.wmf"/><Relationship Id="rId35" Type="http://schemas.openxmlformats.org/officeDocument/2006/relationships/oleObject" Target="embeddings/oleObject11.bin"/><Relationship Id="rId34" Type="http://schemas.openxmlformats.org/officeDocument/2006/relationships/image" Target="media/image11.wmf"/><Relationship Id="rId33" Type="http://schemas.openxmlformats.org/officeDocument/2006/relationships/oleObject" Target="embeddings/oleObject10.bin"/><Relationship Id="rId32" Type="http://schemas.openxmlformats.org/officeDocument/2006/relationships/image" Target="media/image10.wmf"/><Relationship Id="rId31" Type="http://schemas.openxmlformats.org/officeDocument/2006/relationships/oleObject" Target="embeddings/oleObject9.bin"/><Relationship Id="rId30" Type="http://schemas.openxmlformats.org/officeDocument/2006/relationships/image" Target="media/image9.wmf"/><Relationship Id="rId3" Type="http://schemas.openxmlformats.org/officeDocument/2006/relationships/footnotes" Target="footnotes.xml"/><Relationship Id="rId29" Type="http://schemas.openxmlformats.org/officeDocument/2006/relationships/oleObject" Target="embeddings/oleObject8.bin"/><Relationship Id="rId28" Type="http://schemas.openxmlformats.org/officeDocument/2006/relationships/image" Target="media/image8.wmf"/><Relationship Id="rId27" Type="http://schemas.openxmlformats.org/officeDocument/2006/relationships/oleObject" Target="embeddings/oleObject7.bin"/><Relationship Id="rId26" Type="http://schemas.openxmlformats.org/officeDocument/2006/relationships/image" Target="media/image7.wmf"/><Relationship Id="rId25" Type="http://schemas.openxmlformats.org/officeDocument/2006/relationships/oleObject" Target="embeddings/oleObject6.bin"/><Relationship Id="rId24" Type="http://schemas.openxmlformats.org/officeDocument/2006/relationships/image" Target="media/image6.wmf"/><Relationship Id="rId23" Type="http://schemas.openxmlformats.org/officeDocument/2006/relationships/oleObject" Target="embeddings/oleObject5.bin"/><Relationship Id="rId22" Type="http://schemas.openxmlformats.org/officeDocument/2006/relationships/image" Target="media/image5.wmf"/><Relationship Id="rId21" Type="http://schemas.openxmlformats.org/officeDocument/2006/relationships/oleObject" Target="embeddings/oleObject4.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wmf"/><Relationship Id="rId17" Type="http://schemas.openxmlformats.org/officeDocument/2006/relationships/oleObject" Target="embeddings/oleObject2.bin"/><Relationship Id="rId16" Type="http://schemas.openxmlformats.org/officeDocument/2006/relationships/image" Target="media/image2.wmf"/><Relationship Id="rId15" Type="http://schemas.openxmlformats.org/officeDocument/2006/relationships/oleObject" Target="embeddings/oleObject1.bin"/><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3.xml"/><Relationship Id="rId116" Type="http://schemas.openxmlformats.org/officeDocument/2006/relationships/glossaryDocument" Target="glossary/document.xml"/><Relationship Id="rId115" Type="http://schemas.openxmlformats.org/officeDocument/2006/relationships/fontTable" Target="fontTable.xml"/><Relationship Id="rId114" Type="http://schemas.openxmlformats.org/officeDocument/2006/relationships/customXml" Target="../customXml/item2.xml"/><Relationship Id="rId113" Type="http://schemas.openxmlformats.org/officeDocument/2006/relationships/numbering" Target="numbering.xml"/><Relationship Id="rId112" Type="http://schemas.openxmlformats.org/officeDocument/2006/relationships/customXml" Target="../customXml/item1.xml"/><Relationship Id="rId111" Type="http://schemas.openxmlformats.org/officeDocument/2006/relationships/image" Target="media/image49.wmf"/><Relationship Id="rId110" Type="http://schemas.openxmlformats.org/officeDocument/2006/relationships/oleObject" Target="embeddings/oleObject49.bin"/><Relationship Id="rId11" Type="http://schemas.openxmlformats.org/officeDocument/2006/relationships/header" Target="header5.xml"/><Relationship Id="rId109" Type="http://schemas.openxmlformats.org/officeDocument/2006/relationships/oleObject" Target="embeddings/oleObject48.bin"/><Relationship Id="rId108" Type="http://schemas.openxmlformats.org/officeDocument/2006/relationships/image" Target="media/image48.wmf"/><Relationship Id="rId107" Type="http://schemas.openxmlformats.org/officeDocument/2006/relationships/oleObject" Target="embeddings/oleObject47.bin"/><Relationship Id="rId106" Type="http://schemas.microsoft.com/office/2007/relationships/hdphoto" Target="media/image47.wdp"/><Relationship Id="rId105" Type="http://schemas.openxmlformats.org/officeDocument/2006/relationships/image" Target="media/image46.png"/><Relationship Id="rId104" Type="http://schemas.openxmlformats.org/officeDocument/2006/relationships/image" Target="media/image45.wmf"/><Relationship Id="rId103" Type="http://schemas.openxmlformats.org/officeDocument/2006/relationships/oleObject" Target="embeddings/oleObject46.bin"/><Relationship Id="rId102" Type="http://schemas.openxmlformats.org/officeDocument/2006/relationships/image" Target="media/image44.wmf"/><Relationship Id="rId101" Type="http://schemas.openxmlformats.org/officeDocument/2006/relationships/oleObject" Target="embeddings/oleObject45.bin"/><Relationship Id="rId100" Type="http://schemas.openxmlformats.org/officeDocument/2006/relationships/image" Target="media/image43.wmf"/><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2629B34DBDB4DAC8E85B4D6895C4015"/>
        <w:style w:val=""/>
        <w:category>
          <w:name w:val="常规"/>
          <w:gallery w:val="placeholder"/>
        </w:category>
        <w:types>
          <w:type w:val="bbPlcHdr"/>
        </w:types>
        <w:behaviors>
          <w:behavior w:val="content"/>
        </w:behaviors>
        <w:description w:val=""/>
        <w:guid w:val="{70564CCF-849A-466F-8B23-70BFA540420D}"/>
      </w:docPartPr>
      <w:docPartBody>
        <w:p w14:paraId="765D3D2D">
          <w:pPr>
            <w:pStyle w:val="5"/>
          </w:pPr>
          <w:r>
            <w:rPr>
              <w:rStyle w:val="4"/>
              <w:rFonts w:hint="eastAsia"/>
            </w:rPr>
            <w:t>单击或点击此处输入文字。</w:t>
          </w:r>
        </w:p>
      </w:docPartBody>
    </w:docPart>
    <w:docPart>
      <w:docPartPr>
        <w:name w:val="5CF20F3A31344E28809D5482BDD39B6A"/>
        <w:style w:val=""/>
        <w:category>
          <w:name w:val="常规"/>
          <w:gallery w:val="placeholder"/>
        </w:category>
        <w:types>
          <w:type w:val="bbPlcHdr"/>
        </w:types>
        <w:behaviors>
          <w:behavior w:val="content"/>
        </w:behaviors>
        <w:description w:val=""/>
        <w:guid w:val="{9E6B8FA8-8F00-46F5-A280-2A40922B60FD}"/>
      </w:docPartPr>
      <w:docPartBody>
        <w:p w14:paraId="60C22821">
          <w:pPr>
            <w:pStyle w:val="6"/>
          </w:pPr>
          <w:r>
            <w:rPr>
              <w:rStyle w:val="4"/>
              <w:rFonts w:hint="eastAsia"/>
            </w:rPr>
            <w:t>选择一项。</w:t>
          </w:r>
        </w:p>
      </w:docPartBody>
    </w:docPart>
    <w:docPart>
      <w:docPartPr>
        <w:name w:val="A84D8CB36A3A43258066AB51969AC0FC"/>
        <w:style w:val=""/>
        <w:category>
          <w:name w:val="常规"/>
          <w:gallery w:val="placeholder"/>
        </w:category>
        <w:types>
          <w:type w:val="bbPlcHdr"/>
        </w:types>
        <w:behaviors>
          <w:behavior w:val="content"/>
        </w:behaviors>
        <w:description w:val=""/>
        <w:guid w:val="{8B278EB3-AFCA-4B12-AF41-F58E91AF70FC}"/>
      </w:docPartPr>
      <w:docPartBody>
        <w:p w14:paraId="559E5616">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30"/>
    <w:rsid w:val="0000216C"/>
    <w:rsid w:val="00124ED5"/>
    <w:rsid w:val="0014652A"/>
    <w:rsid w:val="001F6471"/>
    <w:rsid w:val="00271F6F"/>
    <w:rsid w:val="00422C41"/>
    <w:rsid w:val="00523DBF"/>
    <w:rsid w:val="00587763"/>
    <w:rsid w:val="005F26B2"/>
    <w:rsid w:val="0071573D"/>
    <w:rsid w:val="008F3C88"/>
    <w:rsid w:val="00A47D7B"/>
    <w:rsid w:val="00B8724D"/>
    <w:rsid w:val="00ED3D30"/>
    <w:rsid w:val="00F05D5A"/>
    <w:rsid w:val="00F07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2629B34DBDB4DAC8E85B4D6895C401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5CF20F3A31344E28809D5482BDD39B6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A84D8CB36A3A43258066AB51969AC0FC"/>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5DA1B0-E8D7-4BC2-9B8F-D06CE7E8E2C7}">
  <ds:schemaRefs/>
</ds:datastoreItem>
</file>

<file path=docProps/app.xml><?xml version="1.0" encoding="utf-8"?>
<Properties xmlns="http://schemas.openxmlformats.org/officeDocument/2006/extended-properties" xmlns:vt="http://schemas.openxmlformats.org/officeDocument/2006/docPropsVTypes">
  <Template>Normal.dotm</Template>
  <Company>PCMI</Company>
  <Pages>58</Pages>
  <Words>227</Words>
  <Characters>269</Characters>
  <Lines>332</Lines>
  <Paragraphs>93</Paragraphs>
  <TotalTime>0</TotalTime>
  <ScaleCrop>false</ScaleCrop>
  <LinksUpToDate>false</LinksUpToDate>
  <CharactersWithSpaces>317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2024-06-04T23:50:00Z</dcterms:created>
  <dc:creator>Le</dc:creator>
  <dc:description>&lt;config cover="true" show_menu="true" version="1.0.0" doctype="SDKXY"&gt;_x000d_
&lt;/config&gt;</dc:description>
  <cp:lastModifiedBy>雪馨沁梦</cp:lastModifiedBy>
  <cp:lastPrinted>2024-01-05T01:23:00Z</cp:lastPrinted>
  <dcterms:modified xsi:type="dcterms:W3CDTF">2026-07-27T08:21:06Z</dcterms:modified>
  <dc:title>行业标准</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6E44D7ED6B7D4F8AB71C03F3F3DDA71B_13</vt:lpwstr>
  </property>
  <property fmtid="{D5CDD505-2E9C-101B-9397-08002B2CF9AE}" pid="16" name="KSOTemplateDocerSaveRecord">
    <vt:lpwstr>eyJoZGlkIjoiYTkxNjJkN2YxMGYyMzE3ODE2YzBiZTZkNmE0ZTExNjUiLCJ1c2VySWQiOiIzMzU3NTkxMzIifQ==</vt:lpwstr>
  </property>
</Properties>
</file>